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406EC" w14:textId="4C4F50D6" w:rsidR="0028704D" w:rsidRDefault="0028704D" w:rsidP="002F65C6">
      <w:pPr>
        <w:pStyle w:val="Body"/>
        <w:jc w:val="both"/>
        <w:rPr>
          <w:rFonts w:ascii="Times New Roman" w:hAnsi="Times New Roman" w:cs="Times New Roman"/>
          <w:color w:val="CC0000"/>
          <w:u w:color="CC0000"/>
        </w:rPr>
      </w:pPr>
    </w:p>
    <w:p w14:paraId="395A6580" w14:textId="7BC359E1" w:rsidR="000A52B0" w:rsidRDefault="000A52B0" w:rsidP="002F65C6">
      <w:pPr>
        <w:pStyle w:val="Body"/>
        <w:jc w:val="both"/>
        <w:rPr>
          <w:rFonts w:ascii="Times New Roman" w:hAnsi="Times New Roman" w:cs="Times New Roman"/>
          <w:color w:val="CC0000"/>
          <w:u w:color="CC0000"/>
        </w:rPr>
      </w:pPr>
    </w:p>
    <w:p w14:paraId="105C03E1" w14:textId="77777777" w:rsidR="00AC3F36" w:rsidRPr="0009735E" w:rsidRDefault="00AC3F36" w:rsidP="002F65C6">
      <w:pPr>
        <w:pStyle w:val="Body"/>
        <w:jc w:val="both"/>
        <w:rPr>
          <w:rFonts w:ascii="Times New Roman" w:hAnsi="Times New Roman" w:cs="Times New Roman"/>
          <w:color w:val="CC0000"/>
          <w:u w:color="CC0000"/>
        </w:rPr>
      </w:pPr>
    </w:p>
    <w:p w14:paraId="5BF4AA34" w14:textId="77777777" w:rsidR="000430F1" w:rsidRPr="0009735E" w:rsidRDefault="000430F1" w:rsidP="002F65C6">
      <w:pPr>
        <w:pStyle w:val="Body"/>
        <w:jc w:val="both"/>
        <w:rPr>
          <w:rFonts w:ascii="Times New Roman" w:hAnsi="Times New Roman" w:cs="Times New Roman"/>
          <w:color w:val="CC0000"/>
          <w:u w:color="CC0000"/>
        </w:rPr>
      </w:pPr>
    </w:p>
    <w:p w14:paraId="54326A66" w14:textId="77777777" w:rsidR="000430F1" w:rsidRPr="0009735E" w:rsidRDefault="000430F1" w:rsidP="002F65C6">
      <w:pPr>
        <w:pStyle w:val="Body"/>
        <w:jc w:val="both"/>
        <w:rPr>
          <w:rFonts w:ascii="Times New Roman" w:hAnsi="Times New Roman" w:cs="Times New Roman"/>
          <w:color w:val="CC0000"/>
          <w:u w:color="CC0000"/>
        </w:rPr>
      </w:pPr>
    </w:p>
    <w:p w14:paraId="2D28BF45" w14:textId="77777777" w:rsidR="000430F1" w:rsidRPr="0009735E" w:rsidRDefault="000430F1" w:rsidP="002F65C6">
      <w:pPr>
        <w:pStyle w:val="Body"/>
        <w:jc w:val="both"/>
        <w:rPr>
          <w:rFonts w:ascii="Times New Roman" w:hAnsi="Times New Roman" w:cs="Times New Roman"/>
          <w:color w:val="CC0000"/>
          <w:u w:color="CC0000"/>
        </w:rPr>
      </w:pPr>
    </w:p>
    <w:p w14:paraId="0F3E8958" w14:textId="00E9717B" w:rsidR="000430F1" w:rsidRPr="00436257" w:rsidRDefault="00436257" w:rsidP="00436257">
      <w:pPr>
        <w:pStyle w:val="Body"/>
        <w:jc w:val="center"/>
        <w:rPr>
          <w:rFonts w:ascii="Times New Roman" w:hAnsi="Times New Roman" w:cs="Times New Roman"/>
          <w:color w:val="CC0000"/>
          <w:sz w:val="52"/>
          <w:szCs w:val="52"/>
          <w:u w:color="CC0000"/>
        </w:rPr>
      </w:pPr>
      <w:r w:rsidRPr="00436257">
        <w:rPr>
          <w:rFonts w:ascii="Times New Roman" w:hAnsi="Times New Roman" w:cs="Times New Roman"/>
          <w:color w:val="CC0000"/>
          <w:sz w:val="52"/>
          <w:szCs w:val="52"/>
          <w:u w:color="CC0000"/>
        </w:rPr>
        <w:t>ASPECTS ORGANISATIONNELS DE L’HEMOVIGILANCE AU LIBAN</w:t>
      </w:r>
    </w:p>
    <w:p w14:paraId="2678A373" w14:textId="77777777" w:rsidR="000430F1" w:rsidRPr="0009735E" w:rsidRDefault="000430F1" w:rsidP="002F65C6">
      <w:pPr>
        <w:pStyle w:val="Body"/>
        <w:jc w:val="both"/>
        <w:rPr>
          <w:rFonts w:ascii="Times New Roman" w:hAnsi="Times New Roman" w:cs="Times New Roman"/>
          <w:color w:val="CC0000"/>
          <w:u w:color="CC0000"/>
        </w:rPr>
      </w:pPr>
    </w:p>
    <w:p w14:paraId="62381050" w14:textId="1A05BD59" w:rsidR="000430F1" w:rsidRDefault="000430F1" w:rsidP="009A5A13">
      <w:pPr>
        <w:pStyle w:val="Body"/>
        <w:jc w:val="both"/>
        <w:rPr>
          <w:rFonts w:ascii="Times New Roman" w:eastAsia="Times New Roman Bold" w:hAnsi="Times New Roman" w:cs="Times New Roman"/>
          <w:sz w:val="24"/>
          <w:szCs w:val="24"/>
        </w:rPr>
      </w:pPr>
    </w:p>
    <w:p w14:paraId="693DBD25" w14:textId="16B33E13" w:rsidR="009A5A13" w:rsidRDefault="009A5A13" w:rsidP="009A5A13">
      <w:pPr>
        <w:pStyle w:val="Body"/>
        <w:jc w:val="both"/>
        <w:rPr>
          <w:rFonts w:ascii="Times New Roman" w:eastAsia="Times New Roman Bold" w:hAnsi="Times New Roman" w:cs="Times New Roman"/>
          <w:sz w:val="24"/>
          <w:szCs w:val="24"/>
        </w:rPr>
      </w:pPr>
    </w:p>
    <w:p w14:paraId="75610FD4" w14:textId="27A934CF" w:rsidR="00436257" w:rsidRDefault="00436257" w:rsidP="009A5A13">
      <w:pPr>
        <w:pStyle w:val="Body"/>
        <w:jc w:val="both"/>
        <w:rPr>
          <w:rFonts w:ascii="Times New Roman" w:eastAsia="Times New Roman Bold" w:hAnsi="Times New Roman" w:cs="Times New Roman"/>
          <w:sz w:val="24"/>
          <w:szCs w:val="24"/>
        </w:rPr>
      </w:pPr>
    </w:p>
    <w:p w14:paraId="215BC3F1" w14:textId="5878A6C0" w:rsidR="00436257" w:rsidRDefault="00436257" w:rsidP="009A5A13">
      <w:pPr>
        <w:pStyle w:val="Body"/>
        <w:jc w:val="both"/>
        <w:rPr>
          <w:rFonts w:ascii="Times New Roman" w:eastAsia="Times New Roman Bold" w:hAnsi="Times New Roman" w:cs="Times New Roman"/>
          <w:sz w:val="24"/>
          <w:szCs w:val="24"/>
        </w:rPr>
      </w:pPr>
    </w:p>
    <w:p w14:paraId="27A2086A" w14:textId="77777777" w:rsidR="00436257" w:rsidRDefault="00436257" w:rsidP="009A5A13">
      <w:pPr>
        <w:pStyle w:val="Body"/>
        <w:jc w:val="both"/>
        <w:rPr>
          <w:rFonts w:ascii="Times New Roman" w:eastAsia="Times New Roman Bold" w:hAnsi="Times New Roman" w:cs="Times New Roman"/>
          <w:sz w:val="24"/>
          <w:szCs w:val="24"/>
        </w:rPr>
      </w:pPr>
    </w:p>
    <w:p w14:paraId="69AED94F" w14:textId="73D3ADA0" w:rsidR="009A5A13" w:rsidRDefault="009A5A13" w:rsidP="009A5A13">
      <w:pPr>
        <w:pStyle w:val="Body"/>
        <w:jc w:val="both"/>
        <w:rPr>
          <w:rFonts w:ascii="Times New Roman" w:eastAsia="Times New Roman Bold" w:hAnsi="Times New Roman" w:cs="Times New Roman"/>
          <w:sz w:val="24"/>
          <w:szCs w:val="24"/>
        </w:rPr>
      </w:pPr>
    </w:p>
    <w:p w14:paraId="1AB8B715" w14:textId="3B546018" w:rsidR="009A5A13" w:rsidRDefault="009A5A13" w:rsidP="009A5A13">
      <w:pPr>
        <w:pStyle w:val="Body"/>
        <w:jc w:val="both"/>
        <w:rPr>
          <w:rFonts w:ascii="Times New Roman" w:eastAsia="Times New Roman Bold" w:hAnsi="Times New Roman" w:cs="Times New Roman"/>
          <w:sz w:val="24"/>
          <w:szCs w:val="24"/>
        </w:rPr>
      </w:pPr>
    </w:p>
    <w:p w14:paraId="2EF74CCA" w14:textId="6049B394" w:rsidR="009A5A13" w:rsidRDefault="009A5A13" w:rsidP="009A5A13">
      <w:pPr>
        <w:pStyle w:val="Body"/>
        <w:jc w:val="both"/>
        <w:rPr>
          <w:rFonts w:ascii="Times New Roman" w:eastAsia="Times New Roman Bold" w:hAnsi="Times New Roman" w:cs="Times New Roman"/>
          <w:sz w:val="24"/>
          <w:szCs w:val="24"/>
        </w:rPr>
      </w:pPr>
    </w:p>
    <w:p w14:paraId="067B1893" w14:textId="3B6A70C8" w:rsidR="009A5A13" w:rsidRDefault="009A5A13" w:rsidP="009A5A13">
      <w:pPr>
        <w:pStyle w:val="Body"/>
        <w:jc w:val="both"/>
        <w:rPr>
          <w:rFonts w:ascii="Times New Roman" w:eastAsia="Times New Roman Bold" w:hAnsi="Times New Roman" w:cs="Times New Roman"/>
          <w:sz w:val="24"/>
          <w:szCs w:val="24"/>
        </w:rPr>
      </w:pPr>
    </w:p>
    <w:p w14:paraId="7D757707" w14:textId="1E644799" w:rsidR="009A5A13" w:rsidRDefault="009A5A13" w:rsidP="009A5A13">
      <w:pPr>
        <w:pStyle w:val="Body"/>
        <w:jc w:val="both"/>
        <w:rPr>
          <w:rFonts w:ascii="Times New Roman" w:eastAsia="Times New Roman Bold" w:hAnsi="Times New Roman" w:cs="Times New Roman"/>
          <w:sz w:val="24"/>
          <w:szCs w:val="24"/>
        </w:rPr>
      </w:pPr>
    </w:p>
    <w:p w14:paraId="081B7C65" w14:textId="217FF0EE" w:rsidR="009A5A13" w:rsidRDefault="009A5A13" w:rsidP="009A5A13">
      <w:pPr>
        <w:pStyle w:val="Body"/>
        <w:jc w:val="both"/>
        <w:rPr>
          <w:rFonts w:ascii="Times New Roman" w:eastAsia="Times New Roman Bold" w:hAnsi="Times New Roman" w:cs="Times New Roman"/>
          <w:sz w:val="24"/>
          <w:szCs w:val="24"/>
        </w:rPr>
      </w:pPr>
    </w:p>
    <w:p w14:paraId="444AA3D1" w14:textId="7E7B5C18" w:rsidR="009A5A13" w:rsidRDefault="009A5A13" w:rsidP="009A5A13">
      <w:pPr>
        <w:pStyle w:val="Body"/>
        <w:jc w:val="both"/>
        <w:rPr>
          <w:rFonts w:ascii="Times New Roman" w:eastAsia="Times New Roman Bold" w:hAnsi="Times New Roman" w:cs="Times New Roman"/>
          <w:sz w:val="24"/>
          <w:szCs w:val="24"/>
        </w:rPr>
      </w:pPr>
    </w:p>
    <w:p w14:paraId="5D88F662" w14:textId="6A60FC91" w:rsidR="009A5A13" w:rsidRDefault="009A5A13" w:rsidP="009A5A13">
      <w:pPr>
        <w:pStyle w:val="Body"/>
        <w:jc w:val="both"/>
        <w:rPr>
          <w:rFonts w:ascii="Times New Roman" w:eastAsia="Times New Roman Bold" w:hAnsi="Times New Roman" w:cs="Times New Roman"/>
          <w:sz w:val="24"/>
          <w:szCs w:val="24"/>
        </w:rPr>
      </w:pPr>
    </w:p>
    <w:p w14:paraId="25C64741" w14:textId="42A856C3" w:rsidR="009A5A13" w:rsidRDefault="009A5A13" w:rsidP="009A5A13">
      <w:pPr>
        <w:pStyle w:val="Body"/>
        <w:jc w:val="both"/>
        <w:rPr>
          <w:rFonts w:ascii="Times New Roman" w:eastAsia="Times New Roman Bold" w:hAnsi="Times New Roman" w:cs="Times New Roman"/>
          <w:sz w:val="24"/>
          <w:szCs w:val="24"/>
        </w:rPr>
      </w:pPr>
    </w:p>
    <w:p w14:paraId="4F1561FD" w14:textId="025CF703" w:rsidR="009A5A13" w:rsidRDefault="009A5A13" w:rsidP="009A5A13">
      <w:pPr>
        <w:pStyle w:val="Body"/>
        <w:jc w:val="both"/>
        <w:rPr>
          <w:rFonts w:ascii="Times New Roman" w:eastAsia="Times New Roman Bold" w:hAnsi="Times New Roman" w:cs="Times New Roman"/>
          <w:sz w:val="24"/>
          <w:szCs w:val="24"/>
        </w:rPr>
      </w:pPr>
    </w:p>
    <w:p w14:paraId="437CE83C" w14:textId="77777777" w:rsidR="009A5A13" w:rsidRPr="009A5A13" w:rsidRDefault="009A5A13" w:rsidP="009A5A13">
      <w:pPr>
        <w:pStyle w:val="Body"/>
        <w:jc w:val="both"/>
        <w:rPr>
          <w:rFonts w:ascii="Times New Roman" w:hAnsi="Times New Roman" w:cs="Times New Roman"/>
        </w:rPr>
      </w:pPr>
    </w:p>
    <w:p w14:paraId="70B2E9A9" w14:textId="77777777" w:rsidR="00F75374" w:rsidRPr="009E63E5" w:rsidRDefault="00F75374" w:rsidP="00F75374">
      <w:pPr>
        <w:pStyle w:val="Body"/>
        <w:jc w:val="both"/>
        <w:rPr>
          <w:rFonts w:ascii="Times New Roman" w:eastAsia="Times New Roman Bold" w:hAnsi="Times New Roman" w:cs="Times New Roman"/>
          <w:sz w:val="24"/>
          <w:szCs w:val="24"/>
          <w:u w:val="single"/>
        </w:rPr>
      </w:pPr>
    </w:p>
    <w:p w14:paraId="1ABAEE8F" w14:textId="77777777" w:rsidR="00F75374" w:rsidRPr="009E63E5" w:rsidRDefault="00F75374" w:rsidP="00F75374">
      <w:pPr>
        <w:pStyle w:val="Body"/>
        <w:jc w:val="both"/>
        <w:rPr>
          <w:rFonts w:ascii="Times New Roman" w:eastAsia="Times New Roman Bold" w:hAnsi="Times New Roman" w:cs="Times New Roman"/>
          <w:sz w:val="24"/>
          <w:szCs w:val="24"/>
          <w:u w:val="single"/>
        </w:rPr>
      </w:pPr>
    </w:p>
    <w:sdt>
      <w:sdtPr>
        <w:id w:val="-770617635"/>
        <w:docPartObj>
          <w:docPartGallery w:val="Table of Contents"/>
          <w:docPartUnique/>
        </w:docPartObj>
      </w:sdtPr>
      <w:sdtEndPr>
        <w:rPr>
          <w:rFonts w:ascii="Times New Roman" w:eastAsia="Arial Unicode MS" w:hAnsi="Times New Roman" w:cs="Times New Roman"/>
          <w:noProof/>
          <w:color w:val="auto"/>
          <w:sz w:val="24"/>
          <w:szCs w:val="24"/>
          <w:lang w:eastAsia="en-US"/>
        </w:rPr>
      </w:sdtEndPr>
      <w:sdtContent>
        <w:p w14:paraId="41A78F0F" w14:textId="781B0DF4" w:rsidR="00436257" w:rsidRDefault="00AC3F36" w:rsidP="00AC3F36">
          <w:pPr>
            <w:pStyle w:val="TOCHeading"/>
            <w:spacing w:line="360" w:lineRule="auto"/>
            <w:rPr>
              <w:rFonts w:ascii="Calibri" w:hAnsi="Calibri" w:cs="Calibri"/>
              <w:color w:val="C00000"/>
            </w:rPr>
          </w:pPr>
          <w:r w:rsidRPr="00AC3F36">
            <w:rPr>
              <w:rFonts w:ascii="Calibri" w:hAnsi="Calibri" w:cs="Calibri"/>
              <w:color w:val="C00000"/>
            </w:rPr>
            <w:t>Table des matières</w:t>
          </w:r>
        </w:p>
        <w:p w14:paraId="40F34BA4" w14:textId="77777777" w:rsidR="00AC3F36" w:rsidRPr="00AC3F36" w:rsidRDefault="00AC3F36" w:rsidP="00AC3F36">
          <w:pPr>
            <w:pStyle w:val="Body"/>
            <w:spacing w:line="360" w:lineRule="auto"/>
            <w:rPr>
              <w:lang w:val="en-US"/>
            </w:rPr>
          </w:pPr>
        </w:p>
        <w:p w14:paraId="0F5CA02F" w14:textId="279F8705" w:rsidR="00AC3F36" w:rsidRPr="00AC3F36" w:rsidRDefault="00436257" w:rsidP="00AC3F36">
          <w:pPr>
            <w:pStyle w:val="TOC1"/>
            <w:tabs>
              <w:tab w:val="right" w:leader="dot" w:pos="9010"/>
            </w:tabs>
            <w:spacing w:line="360" w:lineRule="auto"/>
            <w:rPr>
              <w:rFonts w:ascii="Calibri" w:eastAsiaTheme="minorEastAsia" w:hAnsi="Calibri" w:cs="Calibri"/>
              <w:noProof/>
              <w:bdr w:val="none" w:sz="0" w:space="0" w:color="auto"/>
            </w:rPr>
          </w:pPr>
          <w:r w:rsidRPr="00AC3F36">
            <w:rPr>
              <w:rFonts w:ascii="Calibri" w:hAnsi="Calibri" w:cs="Calibri"/>
            </w:rPr>
            <w:fldChar w:fldCharType="begin"/>
          </w:r>
          <w:r w:rsidRPr="00AC3F36">
            <w:rPr>
              <w:rFonts w:ascii="Calibri" w:hAnsi="Calibri" w:cs="Calibri"/>
            </w:rPr>
            <w:instrText xml:space="preserve"> TOC \o "1-3" \h \z \u </w:instrText>
          </w:r>
          <w:r w:rsidRPr="00AC3F36">
            <w:rPr>
              <w:rFonts w:ascii="Calibri" w:hAnsi="Calibri" w:cs="Calibri"/>
            </w:rPr>
            <w:fldChar w:fldCharType="separate"/>
          </w:r>
          <w:hyperlink w:anchor="_Toc122019048" w:history="1">
            <w:r w:rsidR="00AC3F36" w:rsidRPr="00AC3F36">
              <w:rPr>
                <w:rStyle w:val="Hyperlink"/>
                <w:rFonts w:ascii="Calibri" w:hAnsi="Calibri" w:cs="Calibri"/>
                <w:b/>
                <w:bCs/>
                <w:noProof/>
              </w:rPr>
              <w:t>Première Partie: STRUCTURE DE L’HEMOVIGILANCE</w:t>
            </w:r>
            <w:r w:rsidR="00AC3F36" w:rsidRPr="00AC3F36">
              <w:rPr>
                <w:rFonts w:ascii="Calibri" w:hAnsi="Calibri" w:cs="Calibri"/>
                <w:noProof/>
                <w:webHidden/>
              </w:rPr>
              <w:tab/>
            </w:r>
            <w:r w:rsidR="00AC3F36" w:rsidRPr="00AC3F36">
              <w:rPr>
                <w:rFonts w:ascii="Calibri" w:hAnsi="Calibri" w:cs="Calibri"/>
                <w:noProof/>
                <w:webHidden/>
              </w:rPr>
              <w:fldChar w:fldCharType="begin"/>
            </w:r>
            <w:r w:rsidR="00AC3F36" w:rsidRPr="00AC3F36">
              <w:rPr>
                <w:rFonts w:ascii="Calibri" w:hAnsi="Calibri" w:cs="Calibri"/>
                <w:noProof/>
                <w:webHidden/>
              </w:rPr>
              <w:instrText xml:space="preserve"> PAGEREF _Toc122019048 \h </w:instrText>
            </w:r>
            <w:r w:rsidR="00AC3F36" w:rsidRPr="00AC3F36">
              <w:rPr>
                <w:rFonts w:ascii="Calibri" w:hAnsi="Calibri" w:cs="Calibri"/>
                <w:noProof/>
                <w:webHidden/>
              </w:rPr>
            </w:r>
            <w:r w:rsidR="00AC3F36" w:rsidRPr="00AC3F36">
              <w:rPr>
                <w:rFonts w:ascii="Calibri" w:hAnsi="Calibri" w:cs="Calibri"/>
                <w:noProof/>
                <w:webHidden/>
              </w:rPr>
              <w:fldChar w:fldCharType="separate"/>
            </w:r>
            <w:r w:rsidR="00AC3F36" w:rsidRPr="00AC3F36">
              <w:rPr>
                <w:rFonts w:ascii="Calibri" w:hAnsi="Calibri" w:cs="Calibri"/>
                <w:noProof/>
                <w:webHidden/>
              </w:rPr>
              <w:t>3</w:t>
            </w:r>
            <w:r w:rsidR="00AC3F36" w:rsidRPr="00AC3F36">
              <w:rPr>
                <w:rFonts w:ascii="Calibri" w:hAnsi="Calibri" w:cs="Calibri"/>
                <w:noProof/>
                <w:webHidden/>
              </w:rPr>
              <w:fldChar w:fldCharType="end"/>
            </w:r>
          </w:hyperlink>
        </w:p>
        <w:p w14:paraId="6F79DB8D" w14:textId="7425A3CA" w:rsidR="00AC3F36" w:rsidRPr="00AC3F36" w:rsidRDefault="00AC3F36" w:rsidP="00AC3F36">
          <w:pPr>
            <w:pStyle w:val="TOC1"/>
            <w:tabs>
              <w:tab w:val="left" w:pos="440"/>
              <w:tab w:val="right" w:leader="dot" w:pos="9010"/>
            </w:tabs>
            <w:spacing w:line="360" w:lineRule="auto"/>
            <w:rPr>
              <w:rFonts w:ascii="Calibri" w:eastAsiaTheme="minorEastAsia" w:hAnsi="Calibri" w:cs="Calibri"/>
              <w:noProof/>
              <w:bdr w:val="none" w:sz="0" w:space="0" w:color="auto"/>
            </w:rPr>
          </w:pPr>
          <w:hyperlink w:anchor="_Toc122019049" w:history="1">
            <w:r w:rsidRPr="00AC3F36">
              <w:rPr>
                <w:rStyle w:val="Hyperlink"/>
                <w:rFonts w:ascii="Calibri" w:hAnsi="Calibri" w:cs="Calibri"/>
                <w:noProof/>
                <w:lang w:val="fr-FR"/>
              </w:rPr>
              <w:t>I.</w:t>
            </w:r>
            <w:r w:rsidRPr="00AC3F36">
              <w:rPr>
                <w:rFonts w:ascii="Calibri" w:eastAsiaTheme="minorEastAsia" w:hAnsi="Calibri" w:cs="Calibri"/>
                <w:noProof/>
                <w:bdr w:val="none" w:sz="0" w:space="0" w:color="auto"/>
              </w:rPr>
              <w:tab/>
            </w:r>
            <w:r w:rsidRPr="00AC3F36">
              <w:rPr>
                <w:rStyle w:val="Hyperlink"/>
                <w:rFonts w:ascii="Calibri" w:hAnsi="Calibri" w:cs="Calibri"/>
                <w:noProof/>
                <w:lang w:val="fr-FR"/>
              </w:rPr>
              <w:t>Définition :</w:t>
            </w:r>
            <w:r w:rsidRPr="00AC3F36">
              <w:rPr>
                <w:rFonts w:ascii="Calibri" w:hAnsi="Calibri" w:cs="Calibri"/>
                <w:noProof/>
                <w:webHidden/>
              </w:rPr>
              <w:tab/>
            </w:r>
            <w:r w:rsidRPr="00AC3F36">
              <w:rPr>
                <w:rFonts w:ascii="Calibri" w:hAnsi="Calibri" w:cs="Calibri"/>
                <w:noProof/>
                <w:webHidden/>
              </w:rPr>
              <w:fldChar w:fldCharType="begin"/>
            </w:r>
            <w:r w:rsidRPr="00AC3F36">
              <w:rPr>
                <w:rFonts w:ascii="Calibri" w:hAnsi="Calibri" w:cs="Calibri"/>
                <w:noProof/>
                <w:webHidden/>
              </w:rPr>
              <w:instrText xml:space="preserve"> PAGEREF _Toc122019049 \h </w:instrText>
            </w:r>
            <w:r w:rsidRPr="00AC3F36">
              <w:rPr>
                <w:rFonts w:ascii="Calibri" w:hAnsi="Calibri" w:cs="Calibri"/>
                <w:noProof/>
                <w:webHidden/>
              </w:rPr>
            </w:r>
            <w:r w:rsidRPr="00AC3F36">
              <w:rPr>
                <w:rFonts w:ascii="Calibri" w:hAnsi="Calibri" w:cs="Calibri"/>
                <w:noProof/>
                <w:webHidden/>
              </w:rPr>
              <w:fldChar w:fldCharType="separate"/>
            </w:r>
            <w:r w:rsidRPr="00AC3F36">
              <w:rPr>
                <w:rFonts w:ascii="Calibri" w:hAnsi="Calibri" w:cs="Calibri"/>
                <w:noProof/>
                <w:webHidden/>
              </w:rPr>
              <w:t>3</w:t>
            </w:r>
            <w:r w:rsidRPr="00AC3F36">
              <w:rPr>
                <w:rFonts w:ascii="Calibri" w:hAnsi="Calibri" w:cs="Calibri"/>
                <w:noProof/>
                <w:webHidden/>
              </w:rPr>
              <w:fldChar w:fldCharType="end"/>
            </w:r>
          </w:hyperlink>
        </w:p>
        <w:p w14:paraId="30E89E12" w14:textId="75B88A8A" w:rsidR="00AC3F36" w:rsidRPr="00AC3F36" w:rsidRDefault="00AC3F36" w:rsidP="00AC3F36">
          <w:pPr>
            <w:pStyle w:val="TOC1"/>
            <w:tabs>
              <w:tab w:val="left" w:pos="440"/>
              <w:tab w:val="right" w:leader="dot" w:pos="9010"/>
            </w:tabs>
            <w:spacing w:line="360" w:lineRule="auto"/>
            <w:rPr>
              <w:rFonts w:ascii="Calibri" w:eastAsiaTheme="minorEastAsia" w:hAnsi="Calibri" w:cs="Calibri"/>
              <w:noProof/>
              <w:bdr w:val="none" w:sz="0" w:space="0" w:color="auto"/>
            </w:rPr>
          </w:pPr>
          <w:hyperlink w:anchor="_Toc122019050" w:history="1">
            <w:r w:rsidRPr="00AC3F36">
              <w:rPr>
                <w:rStyle w:val="Hyperlink"/>
                <w:rFonts w:ascii="Calibri" w:hAnsi="Calibri" w:cs="Calibri"/>
                <w:noProof/>
              </w:rPr>
              <w:t>II.</w:t>
            </w:r>
            <w:r w:rsidRPr="00AC3F36">
              <w:rPr>
                <w:rFonts w:ascii="Calibri" w:eastAsiaTheme="minorEastAsia" w:hAnsi="Calibri" w:cs="Calibri"/>
                <w:noProof/>
                <w:bdr w:val="none" w:sz="0" w:space="0" w:color="auto"/>
              </w:rPr>
              <w:tab/>
            </w:r>
            <w:r w:rsidRPr="00AC3F36">
              <w:rPr>
                <w:rStyle w:val="Hyperlink"/>
                <w:rFonts w:ascii="Calibri" w:hAnsi="Calibri" w:cs="Calibri"/>
                <w:noProof/>
              </w:rPr>
              <w:t>Domaine d’application:</w:t>
            </w:r>
            <w:r w:rsidRPr="00AC3F36">
              <w:rPr>
                <w:rFonts w:ascii="Calibri" w:hAnsi="Calibri" w:cs="Calibri"/>
                <w:noProof/>
                <w:webHidden/>
              </w:rPr>
              <w:tab/>
            </w:r>
            <w:r w:rsidRPr="00AC3F36">
              <w:rPr>
                <w:rFonts w:ascii="Calibri" w:hAnsi="Calibri" w:cs="Calibri"/>
                <w:noProof/>
                <w:webHidden/>
              </w:rPr>
              <w:fldChar w:fldCharType="begin"/>
            </w:r>
            <w:r w:rsidRPr="00AC3F36">
              <w:rPr>
                <w:rFonts w:ascii="Calibri" w:hAnsi="Calibri" w:cs="Calibri"/>
                <w:noProof/>
                <w:webHidden/>
              </w:rPr>
              <w:instrText xml:space="preserve"> PAGEREF _Toc122019050 \h </w:instrText>
            </w:r>
            <w:r w:rsidRPr="00AC3F36">
              <w:rPr>
                <w:rFonts w:ascii="Calibri" w:hAnsi="Calibri" w:cs="Calibri"/>
                <w:noProof/>
                <w:webHidden/>
              </w:rPr>
            </w:r>
            <w:r w:rsidRPr="00AC3F36">
              <w:rPr>
                <w:rFonts w:ascii="Calibri" w:hAnsi="Calibri" w:cs="Calibri"/>
                <w:noProof/>
                <w:webHidden/>
              </w:rPr>
              <w:fldChar w:fldCharType="separate"/>
            </w:r>
            <w:r w:rsidRPr="00AC3F36">
              <w:rPr>
                <w:rFonts w:ascii="Calibri" w:hAnsi="Calibri" w:cs="Calibri"/>
                <w:noProof/>
                <w:webHidden/>
              </w:rPr>
              <w:t>3</w:t>
            </w:r>
            <w:r w:rsidRPr="00AC3F36">
              <w:rPr>
                <w:rFonts w:ascii="Calibri" w:hAnsi="Calibri" w:cs="Calibri"/>
                <w:noProof/>
                <w:webHidden/>
              </w:rPr>
              <w:fldChar w:fldCharType="end"/>
            </w:r>
          </w:hyperlink>
        </w:p>
        <w:p w14:paraId="6704D71A" w14:textId="0027F762" w:rsidR="00AC3F36" w:rsidRPr="00AC3F36" w:rsidRDefault="00AC3F36" w:rsidP="00AC3F36">
          <w:pPr>
            <w:pStyle w:val="TOC1"/>
            <w:tabs>
              <w:tab w:val="left" w:pos="660"/>
              <w:tab w:val="right" w:leader="dot" w:pos="9010"/>
            </w:tabs>
            <w:spacing w:line="360" w:lineRule="auto"/>
            <w:rPr>
              <w:rFonts w:ascii="Calibri" w:eastAsiaTheme="minorEastAsia" w:hAnsi="Calibri" w:cs="Calibri"/>
              <w:noProof/>
              <w:bdr w:val="none" w:sz="0" w:space="0" w:color="auto"/>
            </w:rPr>
          </w:pPr>
          <w:hyperlink w:anchor="_Toc122019051" w:history="1">
            <w:r w:rsidRPr="00AC3F36">
              <w:rPr>
                <w:rStyle w:val="Hyperlink"/>
                <w:rFonts w:ascii="Calibri" w:hAnsi="Calibri" w:cs="Calibri"/>
                <w:noProof/>
              </w:rPr>
              <w:t>III.</w:t>
            </w:r>
            <w:r w:rsidRPr="00AC3F36">
              <w:rPr>
                <w:rFonts w:ascii="Calibri" w:eastAsiaTheme="minorEastAsia" w:hAnsi="Calibri" w:cs="Calibri"/>
                <w:noProof/>
                <w:bdr w:val="none" w:sz="0" w:space="0" w:color="auto"/>
              </w:rPr>
              <w:tab/>
            </w:r>
            <w:r w:rsidRPr="00AC3F36">
              <w:rPr>
                <w:rStyle w:val="Hyperlink"/>
                <w:rFonts w:ascii="Calibri" w:hAnsi="Calibri" w:cs="Calibri"/>
                <w:noProof/>
              </w:rPr>
              <w:t>Objectifs:</w:t>
            </w:r>
            <w:r w:rsidRPr="00AC3F36">
              <w:rPr>
                <w:rFonts w:ascii="Calibri" w:hAnsi="Calibri" w:cs="Calibri"/>
                <w:noProof/>
                <w:webHidden/>
              </w:rPr>
              <w:tab/>
            </w:r>
            <w:r w:rsidRPr="00AC3F36">
              <w:rPr>
                <w:rFonts w:ascii="Calibri" w:hAnsi="Calibri" w:cs="Calibri"/>
                <w:noProof/>
                <w:webHidden/>
              </w:rPr>
              <w:fldChar w:fldCharType="begin"/>
            </w:r>
            <w:r w:rsidRPr="00AC3F36">
              <w:rPr>
                <w:rFonts w:ascii="Calibri" w:hAnsi="Calibri" w:cs="Calibri"/>
                <w:noProof/>
                <w:webHidden/>
              </w:rPr>
              <w:instrText xml:space="preserve"> PAGEREF _Toc122019051 \h </w:instrText>
            </w:r>
            <w:r w:rsidRPr="00AC3F36">
              <w:rPr>
                <w:rFonts w:ascii="Calibri" w:hAnsi="Calibri" w:cs="Calibri"/>
                <w:noProof/>
                <w:webHidden/>
              </w:rPr>
            </w:r>
            <w:r w:rsidRPr="00AC3F36">
              <w:rPr>
                <w:rFonts w:ascii="Calibri" w:hAnsi="Calibri" w:cs="Calibri"/>
                <w:noProof/>
                <w:webHidden/>
              </w:rPr>
              <w:fldChar w:fldCharType="separate"/>
            </w:r>
            <w:r w:rsidRPr="00AC3F36">
              <w:rPr>
                <w:rFonts w:ascii="Calibri" w:hAnsi="Calibri" w:cs="Calibri"/>
                <w:noProof/>
                <w:webHidden/>
              </w:rPr>
              <w:t>3</w:t>
            </w:r>
            <w:r w:rsidRPr="00AC3F36">
              <w:rPr>
                <w:rFonts w:ascii="Calibri" w:hAnsi="Calibri" w:cs="Calibri"/>
                <w:noProof/>
                <w:webHidden/>
              </w:rPr>
              <w:fldChar w:fldCharType="end"/>
            </w:r>
          </w:hyperlink>
        </w:p>
        <w:p w14:paraId="3FBCF3FC" w14:textId="5D999D89" w:rsidR="00AC3F36" w:rsidRPr="00AC3F36" w:rsidRDefault="00AC3F36" w:rsidP="00AC3F36">
          <w:pPr>
            <w:pStyle w:val="TOC1"/>
            <w:tabs>
              <w:tab w:val="left" w:pos="660"/>
              <w:tab w:val="right" w:leader="dot" w:pos="9010"/>
            </w:tabs>
            <w:spacing w:line="360" w:lineRule="auto"/>
            <w:rPr>
              <w:rFonts w:ascii="Calibri" w:eastAsiaTheme="minorEastAsia" w:hAnsi="Calibri" w:cs="Calibri"/>
              <w:noProof/>
              <w:bdr w:val="none" w:sz="0" w:space="0" w:color="auto"/>
            </w:rPr>
          </w:pPr>
          <w:hyperlink w:anchor="_Toc122019052" w:history="1">
            <w:r w:rsidRPr="00AC3F36">
              <w:rPr>
                <w:rStyle w:val="Hyperlink"/>
                <w:rFonts w:ascii="Calibri" w:hAnsi="Calibri" w:cs="Calibri"/>
                <w:noProof/>
              </w:rPr>
              <w:t>IV.</w:t>
            </w:r>
            <w:r w:rsidRPr="00AC3F36">
              <w:rPr>
                <w:rFonts w:ascii="Calibri" w:eastAsiaTheme="minorEastAsia" w:hAnsi="Calibri" w:cs="Calibri"/>
                <w:noProof/>
                <w:bdr w:val="none" w:sz="0" w:space="0" w:color="auto"/>
              </w:rPr>
              <w:tab/>
            </w:r>
            <w:r w:rsidRPr="00AC3F36">
              <w:rPr>
                <w:rStyle w:val="Hyperlink"/>
                <w:rFonts w:ascii="Calibri" w:hAnsi="Calibri" w:cs="Calibri"/>
                <w:noProof/>
              </w:rPr>
              <w:t>Plan d’action:</w:t>
            </w:r>
            <w:r w:rsidRPr="00AC3F36">
              <w:rPr>
                <w:rFonts w:ascii="Calibri" w:hAnsi="Calibri" w:cs="Calibri"/>
                <w:noProof/>
                <w:webHidden/>
              </w:rPr>
              <w:tab/>
            </w:r>
            <w:r w:rsidRPr="00AC3F36">
              <w:rPr>
                <w:rFonts w:ascii="Calibri" w:hAnsi="Calibri" w:cs="Calibri"/>
                <w:noProof/>
                <w:webHidden/>
              </w:rPr>
              <w:fldChar w:fldCharType="begin"/>
            </w:r>
            <w:r w:rsidRPr="00AC3F36">
              <w:rPr>
                <w:rFonts w:ascii="Calibri" w:hAnsi="Calibri" w:cs="Calibri"/>
                <w:noProof/>
                <w:webHidden/>
              </w:rPr>
              <w:instrText xml:space="preserve"> PAGEREF _Toc122019052 \h </w:instrText>
            </w:r>
            <w:r w:rsidRPr="00AC3F36">
              <w:rPr>
                <w:rFonts w:ascii="Calibri" w:hAnsi="Calibri" w:cs="Calibri"/>
                <w:noProof/>
                <w:webHidden/>
              </w:rPr>
            </w:r>
            <w:r w:rsidRPr="00AC3F36">
              <w:rPr>
                <w:rFonts w:ascii="Calibri" w:hAnsi="Calibri" w:cs="Calibri"/>
                <w:noProof/>
                <w:webHidden/>
              </w:rPr>
              <w:fldChar w:fldCharType="separate"/>
            </w:r>
            <w:r w:rsidRPr="00AC3F36">
              <w:rPr>
                <w:rFonts w:ascii="Calibri" w:hAnsi="Calibri" w:cs="Calibri"/>
                <w:noProof/>
                <w:webHidden/>
              </w:rPr>
              <w:t>3</w:t>
            </w:r>
            <w:r w:rsidRPr="00AC3F36">
              <w:rPr>
                <w:rFonts w:ascii="Calibri" w:hAnsi="Calibri" w:cs="Calibri"/>
                <w:noProof/>
                <w:webHidden/>
              </w:rPr>
              <w:fldChar w:fldCharType="end"/>
            </w:r>
          </w:hyperlink>
        </w:p>
        <w:p w14:paraId="4EE8E7D5" w14:textId="60DC30CD" w:rsidR="00AC3F36" w:rsidRPr="00AC3F36" w:rsidRDefault="00AC3F36" w:rsidP="00AC3F36">
          <w:pPr>
            <w:pStyle w:val="TOC1"/>
            <w:tabs>
              <w:tab w:val="left" w:pos="440"/>
              <w:tab w:val="right" w:leader="dot" w:pos="9010"/>
            </w:tabs>
            <w:spacing w:line="360" w:lineRule="auto"/>
            <w:rPr>
              <w:rFonts w:ascii="Calibri" w:eastAsiaTheme="minorEastAsia" w:hAnsi="Calibri" w:cs="Calibri"/>
              <w:noProof/>
              <w:bdr w:val="none" w:sz="0" w:space="0" w:color="auto"/>
            </w:rPr>
          </w:pPr>
          <w:hyperlink w:anchor="_Toc122019053" w:history="1">
            <w:r w:rsidRPr="00AC3F36">
              <w:rPr>
                <w:rStyle w:val="Hyperlink"/>
                <w:rFonts w:ascii="Calibri" w:hAnsi="Calibri" w:cs="Calibri"/>
                <w:noProof/>
              </w:rPr>
              <w:t>V.</w:t>
            </w:r>
            <w:r w:rsidRPr="00AC3F36">
              <w:rPr>
                <w:rFonts w:ascii="Calibri" w:eastAsiaTheme="minorEastAsia" w:hAnsi="Calibri" w:cs="Calibri"/>
                <w:noProof/>
                <w:bdr w:val="none" w:sz="0" w:space="0" w:color="auto"/>
              </w:rPr>
              <w:tab/>
            </w:r>
            <w:r w:rsidRPr="00AC3F36">
              <w:rPr>
                <w:rStyle w:val="Hyperlink"/>
                <w:rFonts w:ascii="Calibri" w:hAnsi="Calibri" w:cs="Calibri"/>
                <w:noProof/>
              </w:rPr>
              <w:t>Les acteurs de l’H</w:t>
            </w:r>
            <w:r w:rsidRPr="00AC3F36">
              <w:rPr>
                <w:rStyle w:val="Hyperlink"/>
                <w:rFonts w:ascii="Calibri" w:hAnsi="Calibri" w:cs="Calibri"/>
                <w:noProof/>
                <w:lang w:val="fr-FR"/>
              </w:rPr>
              <w:t>é</w:t>
            </w:r>
            <w:r w:rsidRPr="00AC3F36">
              <w:rPr>
                <w:rStyle w:val="Hyperlink"/>
                <w:rFonts w:ascii="Calibri" w:hAnsi="Calibri" w:cs="Calibri"/>
                <w:noProof/>
              </w:rPr>
              <w:t>movigilance</w:t>
            </w:r>
            <w:r w:rsidRPr="00AC3F36">
              <w:rPr>
                <w:rFonts w:ascii="Calibri" w:hAnsi="Calibri" w:cs="Calibri"/>
                <w:noProof/>
                <w:webHidden/>
              </w:rPr>
              <w:tab/>
            </w:r>
            <w:r w:rsidRPr="00AC3F36">
              <w:rPr>
                <w:rFonts w:ascii="Calibri" w:hAnsi="Calibri" w:cs="Calibri"/>
                <w:noProof/>
                <w:webHidden/>
              </w:rPr>
              <w:fldChar w:fldCharType="begin"/>
            </w:r>
            <w:r w:rsidRPr="00AC3F36">
              <w:rPr>
                <w:rFonts w:ascii="Calibri" w:hAnsi="Calibri" w:cs="Calibri"/>
                <w:noProof/>
                <w:webHidden/>
              </w:rPr>
              <w:instrText xml:space="preserve"> PAGEREF _Toc122019053 \h </w:instrText>
            </w:r>
            <w:r w:rsidRPr="00AC3F36">
              <w:rPr>
                <w:rFonts w:ascii="Calibri" w:hAnsi="Calibri" w:cs="Calibri"/>
                <w:noProof/>
                <w:webHidden/>
              </w:rPr>
            </w:r>
            <w:r w:rsidRPr="00AC3F36">
              <w:rPr>
                <w:rFonts w:ascii="Calibri" w:hAnsi="Calibri" w:cs="Calibri"/>
                <w:noProof/>
                <w:webHidden/>
              </w:rPr>
              <w:fldChar w:fldCharType="separate"/>
            </w:r>
            <w:r w:rsidRPr="00AC3F36">
              <w:rPr>
                <w:rFonts w:ascii="Calibri" w:hAnsi="Calibri" w:cs="Calibri"/>
                <w:noProof/>
                <w:webHidden/>
              </w:rPr>
              <w:t>4</w:t>
            </w:r>
            <w:r w:rsidRPr="00AC3F36">
              <w:rPr>
                <w:rFonts w:ascii="Calibri" w:hAnsi="Calibri" w:cs="Calibri"/>
                <w:noProof/>
                <w:webHidden/>
              </w:rPr>
              <w:fldChar w:fldCharType="end"/>
            </w:r>
          </w:hyperlink>
        </w:p>
        <w:p w14:paraId="5812B5B0" w14:textId="10E9C3BB" w:rsidR="00AC3F36" w:rsidRPr="00AC3F36" w:rsidRDefault="00AC3F36" w:rsidP="00AC3F36">
          <w:pPr>
            <w:pStyle w:val="TOC1"/>
            <w:tabs>
              <w:tab w:val="right" w:leader="dot" w:pos="9010"/>
            </w:tabs>
            <w:spacing w:line="360" w:lineRule="auto"/>
            <w:rPr>
              <w:rFonts w:ascii="Calibri" w:eastAsiaTheme="minorEastAsia" w:hAnsi="Calibri" w:cs="Calibri"/>
              <w:noProof/>
              <w:bdr w:val="none" w:sz="0" w:space="0" w:color="auto"/>
            </w:rPr>
          </w:pPr>
          <w:hyperlink w:anchor="_Toc122019054" w:history="1">
            <w:r w:rsidRPr="00AC3F36">
              <w:rPr>
                <w:rStyle w:val="Hyperlink"/>
                <w:rFonts w:ascii="Calibri" w:hAnsi="Calibri" w:cs="Calibri"/>
                <w:b/>
                <w:bCs/>
                <w:noProof/>
                <w:lang w:val="fr-FR"/>
              </w:rPr>
              <w:t>Deuxième Partie : LE MECANISME DE FONCTIONNEMENT DE L'HEMOVIGILANCE</w:t>
            </w:r>
            <w:r w:rsidRPr="00AC3F36">
              <w:rPr>
                <w:rFonts w:ascii="Calibri" w:hAnsi="Calibri" w:cs="Calibri"/>
                <w:noProof/>
                <w:webHidden/>
              </w:rPr>
              <w:tab/>
            </w:r>
            <w:r w:rsidRPr="00AC3F36">
              <w:rPr>
                <w:rFonts w:ascii="Calibri" w:hAnsi="Calibri" w:cs="Calibri"/>
                <w:noProof/>
                <w:webHidden/>
              </w:rPr>
              <w:fldChar w:fldCharType="begin"/>
            </w:r>
            <w:r w:rsidRPr="00AC3F36">
              <w:rPr>
                <w:rFonts w:ascii="Calibri" w:hAnsi="Calibri" w:cs="Calibri"/>
                <w:noProof/>
                <w:webHidden/>
              </w:rPr>
              <w:instrText xml:space="preserve"> PAGEREF _Toc122019054 \h </w:instrText>
            </w:r>
            <w:r w:rsidRPr="00AC3F36">
              <w:rPr>
                <w:rFonts w:ascii="Calibri" w:hAnsi="Calibri" w:cs="Calibri"/>
                <w:noProof/>
                <w:webHidden/>
              </w:rPr>
            </w:r>
            <w:r w:rsidRPr="00AC3F36">
              <w:rPr>
                <w:rFonts w:ascii="Calibri" w:hAnsi="Calibri" w:cs="Calibri"/>
                <w:noProof/>
                <w:webHidden/>
              </w:rPr>
              <w:fldChar w:fldCharType="separate"/>
            </w:r>
            <w:r w:rsidRPr="00AC3F36">
              <w:rPr>
                <w:rFonts w:ascii="Calibri" w:hAnsi="Calibri" w:cs="Calibri"/>
                <w:noProof/>
                <w:webHidden/>
              </w:rPr>
              <w:t>6</w:t>
            </w:r>
            <w:r w:rsidRPr="00AC3F36">
              <w:rPr>
                <w:rFonts w:ascii="Calibri" w:hAnsi="Calibri" w:cs="Calibri"/>
                <w:noProof/>
                <w:webHidden/>
              </w:rPr>
              <w:fldChar w:fldCharType="end"/>
            </w:r>
          </w:hyperlink>
        </w:p>
        <w:p w14:paraId="60D0FC93" w14:textId="10797583" w:rsidR="00AC3F36" w:rsidRPr="00AC3F36" w:rsidRDefault="00AC3F36" w:rsidP="00AC3F36">
          <w:pPr>
            <w:pStyle w:val="TOC1"/>
            <w:tabs>
              <w:tab w:val="left" w:pos="440"/>
              <w:tab w:val="right" w:leader="dot" w:pos="9010"/>
            </w:tabs>
            <w:spacing w:line="360" w:lineRule="auto"/>
            <w:rPr>
              <w:rFonts w:ascii="Calibri" w:eastAsiaTheme="minorEastAsia" w:hAnsi="Calibri" w:cs="Calibri"/>
              <w:noProof/>
              <w:bdr w:val="none" w:sz="0" w:space="0" w:color="auto"/>
            </w:rPr>
          </w:pPr>
          <w:hyperlink w:anchor="_Toc122019055" w:history="1">
            <w:r w:rsidRPr="00AC3F36">
              <w:rPr>
                <w:rStyle w:val="Hyperlink"/>
                <w:rFonts w:ascii="Calibri" w:hAnsi="Calibri" w:cs="Calibri"/>
                <w:noProof/>
                <w:lang w:val="fr-FR"/>
              </w:rPr>
              <w:t>I.</w:t>
            </w:r>
            <w:r w:rsidRPr="00AC3F36">
              <w:rPr>
                <w:rFonts w:ascii="Calibri" w:eastAsiaTheme="minorEastAsia" w:hAnsi="Calibri" w:cs="Calibri"/>
                <w:noProof/>
                <w:bdr w:val="none" w:sz="0" w:space="0" w:color="auto"/>
              </w:rPr>
              <w:tab/>
            </w:r>
            <w:r w:rsidRPr="00AC3F36">
              <w:rPr>
                <w:rStyle w:val="Hyperlink"/>
                <w:rFonts w:ascii="Calibri" w:hAnsi="Calibri" w:cs="Calibri"/>
                <w:noProof/>
                <w:lang w:val="fr-FR"/>
              </w:rPr>
              <w:t>Le Dispositif de l’HV</w:t>
            </w:r>
            <w:r w:rsidRPr="00AC3F36">
              <w:rPr>
                <w:rFonts w:ascii="Calibri" w:hAnsi="Calibri" w:cs="Calibri"/>
                <w:noProof/>
                <w:webHidden/>
              </w:rPr>
              <w:tab/>
            </w:r>
            <w:r w:rsidRPr="00AC3F36">
              <w:rPr>
                <w:rFonts w:ascii="Calibri" w:hAnsi="Calibri" w:cs="Calibri"/>
                <w:noProof/>
                <w:webHidden/>
              </w:rPr>
              <w:fldChar w:fldCharType="begin"/>
            </w:r>
            <w:r w:rsidRPr="00AC3F36">
              <w:rPr>
                <w:rFonts w:ascii="Calibri" w:hAnsi="Calibri" w:cs="Calibri"/>
                <w:noProof/>
                <w:webHidden/>
              </w:rPr>
              <w:instrText xml:space="preserve"> PAGEREF _Toc122019055 \h </w:instrText>
            </w:r>
            <w:r w:rsidRPr="00AC3F36">
              <w:rPr>
                <w:rFonts w:ascii="Calibri" w:hAnsi="Calibri" w:cs="Calibri"/>
                <w:noProof/>
                <w:webHidden/>
              </w:rPr>
            </w:r>
            <w:r w:rsidRPr="00AC3F36">
              <w:rPr>
                <w:rFonts w:ascii="Calibri" w:hAnsi="Calibri" w:cs="Calibri"/>
                <w:noProof/>
                <w:webHidden/>
              </w:rPr>
              <w:fldChar w:fldCharType="separate"/>
            </w:r>
            <w:r w:rsidRPr="00AC3F36">
              <w:rPr>
                <w:rFonts w:ascii="Calibri" w:hAnsi="Calibri" w:cs="Calibri"/>
                <w:noProof/>
                <w:webHidden/>
              </w:rPr>
              <w:t>6</w:t>
            </w:r>
            <w:r w:rsidRPr="00AC3F36">
              <w:rPr>
                <w:rFonts w:ascii="Calibri" w:hAnsi="Calibri" w:cs="Calibri"/>
                <w:noProof/>
                <w:webHidden/>
              </w:rPr>
              <w:fldChar w:fldCharType="end"/>
            </w:r>
          </w:hyperlink>
        </w:p>
        <w:p w14:paraId="4C7672DC" w14:textId="0472FD8C" w:rsidR="00AC3F36" w:rsidRPr="00AC3F36" w:rsidRDefault="00AC3F36" w:rsidP="00AC3F36">
          <w:pPr>
            <w:pStyle w:val="TOC1"/>
            <w:tabs>
              <w:tab w:val="left" w:pos="440"/>
              <w:tab w:val="right" w:leader="dot" w:pos="9010"/>
            </w:tabs>
            <w:spacing w:line="360" w:lineRule="auto"/>
            <w:rPr>
              <w:rFonts w:ascii="Calibri" w:eastAsiaTheme="minorEastAsia" w:hAnsi="Calibri" w:cs="Calibri"/>
              <w:noProof/>
              <w:bdr w:val="none" w:sz="0" w:space="0" w:color="auto"/>
            </w:rPr>
          </w:pPr>
          <w:hyperlink w:anchor="_Toc122019056" w:history="1">
            <w:r w:rsidRPr="00AC3F36">
              <w:rPr>
                <w:rStyle w:val="Hyperlink"/>
                <w:rFonts w:ascii="Calibri" w:hAnsi="Calibri" w:cs="Calibri"/>
                <w:noProof/>
              </w:rPr>
              <w:t>II.</w:t>
            </w:r>
            <w:r w:rsidRPr="00AC3F36">
              <w:rPr>
                <w:rFonts w:ascii="Calibri" w:eastAsiaTheme="minorEastAsia" w:hAnsi="Calibri" w:cs="Calibri"/>
                <w:noProof/>
                <w:bdr w:val="none" w:sz="0" w:space="0" w:color="auto"/>
              </w:rPr>
              <w:tab/>
            </w:r>
            <w:r w:rsidRPr="00AC3F36">
              <w:rPr>
                <w:rStyle w:val="Hyperlink"/>
                <w:rFonts w:ascii="Calibri" w:hAnsi="Calibri" w:cs="Calibri"/>
                <w:noProof/>
              </w:rPr>
              <w:t>Droits du patient:</w:t>
            </w:r>
            <w:r w:rsidRPr="00AC3F36">
              <w:rPr>
                <w:rFonts w:ascii="Calibri" w:hAnsi="Calibri" w:cs="Calibri"/>
                <w:noProof/>
                <w:webHidden/>
              </w:rPr>
              <w:tab/>
            </w:r>
            <w:r w:rsidRPr="00AC3F36">
              <w:rPr>
                <w:rFonts w:ascii="Calibri" w:hAnsi="Calibri" w:cs="Calibri"/>
                <w:noProof/>
                <w:webHidden/>
              </w:rPr>
              <w:fldChar w:fldCharType="begin"/>
            </w:r>
            <w:r w:rsidRPr="00AC3F36">
              <w:rPr>
                <w:rFonts w:ascii="Calibri" w:hAnsi="Calibri" w:cs="Calibri"/>
                <w:noProof/>
                <w:webHidden/>
              </w:rPr>
              <w:instrText xml:space="preserve"> PAGEREF _Toc122019056 \h </w:instrText>
            </w:r>
            <w:r w:rsidRPr="00AC3F36">
              <w:rPr>
                <w:rFonts w:ascii="Calibri" w:hAnsi="Calibri" w:cs="Calibri"/>
                <w:noProof/>
                <w:webHidden/>
              </w:rPr>
            </w:r>
            <w:r w:rsidRPr="00AC3F36">
              <w:rPr>
                <w:rFonts w:ascii="Calibri" w:hAnsi="Calibri" w:cs="Calibri"/>
                <w:noProof/>
                <w:webHidden/>
              </w:rPr>
              <w:fldChar w:fldCharType="separate"/>
            </w:r>
            <w:r w:rsidRPr="00AC3F36">
              <w:rPr>
                <w:rFonts w:ascii="Calibri" w:hAnsi="Calibri" w:cs="Calibri"/>
                <w:noProof/>
                <w:webHidden/>
              </w:rPr>
              <w:t>8</w:t>
            </w:r>
            <w:r w:rsidRPr="00AC3F36">
              <w:rPr>
                <w:rFonts w:ascii="Calibri" w:hAnsi="Calibri" w:cs="Calibri"/>
                <w:noProof/>
                <w:webHidden/>
              </w:rPr>
              <w:fldChar w:fldCharType="end"/>
            </w:r>
          </w:hyperlink>
        </w:p>
        <w:p w14:paraId="77214B7E" w14:textId="62E961FF" w:rsidR="00AC3F36" w:rsidRPr="00AC3F36" w:rsidRDefault="00AC3F36" w:rsidP="00AC3F36">
          <w:pPr>
            <w:pStyle w:val="TOC1"/>
            <w:tabs>
              <w:tab w:val="right" w:leader="dot" w:pos="9010"/>
            </w:tabs>
            <w:spacing w:line="360" w:lineRule="auto"/>
            <w:rPr>
              <w:rFonts w:ascii="Calibri" w:eastAsiaTheme="minorEastAsia" w:hAnsi="Calibri" w:cs="Calibri"/>
              <w:noProof/>
              <w:bdr w:val="none" w:sz="0" w:space="0" w:color="auto"/>
            </w:rPr>
          </w:pPr>
          <w:hyperlink w:anchor="_Toc122019057" w:history="1">
            <w:r w:rsidRPr="00AC3F36">
              <w:rPr>
                <w:rStyle w:val="Hyperlink"/>
                <w:rFonts w:ascii="Calibri" w:hAnsi="Calibri" w:cs="Calibri"/>
                <w:b/>
                <w:bCs/>
                <w:noProof/>
                <w:shd w:val="clear" w:color="auto" w:fill="C0C0C0"/>
              </w:rPr>
              <w:t>Annexe I : COMITE LIBANAIS DE TRANSFUSION SANGUINE</w:t>
            </w:r>
            <w:r w:rsidRPr="00AC3F36">
              <w:rPr>
                <w:rStyle w:val="Hyperlink"/>
                <w:rFonts w:ascii="Calibri" w:hAnsi="Calibri" w:cs="Calibri"/>
                <w:b/>
                <w:bCs/>
                <w:noProof/>
                <w:shd w:val="clear" w:color="auto" w:fill="D9D9D9"/>
              </w:rPr>
              <w:t xml:space="preserve"> (CLTS)</w:t>
            </w:r>
            <w:r w:rsidRPr="00AC3F36">
              <w:rPr>
                <w:rFonts w:ascii="Calibri" w:hAnsi="Calibri" w:cs="Calibri"/>
                <w:noProof/>
                <w:webHidden/>
              </w:rPr>
              <w:tab/>
            </w:r>
            <w:r w:rsidRPr="00AC3F36">
              <w:rPr>
                <w:rFonts w:ascii="Calibri" w:hAnsi="Calibri" w:cs="Calibri"/>
                <w:noProof/>
                <w:webHidden/>
              </w:rPr>
              <w:fldChar w:fldCharType="begin"/>
            </w:r>
            <w:r w:rsidRPr="00AC3F36">
              <w:rPr>
                <w:rFonts w:ascii="Calibri" w:hAnsi="Calibri" w:cs="Calibri"/>
                <w:noProof/>
                <w:webHidden/>
              </w:rPr>
              <w:instrText xml:space="preserve"> PAGEREF _Toc122019057 \h </w:instrText>
            </w:r>
            <w:r w:rsidRPr="00AC3F36">
              <w:rPr>
                <w:rFonts w:ascii="Calibri" w:hAnsi="Calibri" w:cs="Calibri"/>
                <w:noProof/>
                <w:webHidden/>
              </w:rPr>
            </w:r>
            <w:r w:rsidRPr="00AC3F36">
              <w:rPr>
                <w:rFonts w:ascii="Calibri" w:hAnsi="Calibri" w:cs="Calibri"/>
                <w:noProof/>
                <w:webHidden/>
              </w:rPr>
              <w:fldChar w:fldCharType="separate"/>
            </w:r>
            <w:r w:rsidRPr="00AC3F36">
              <w:rPr>
                <w:rFonts w:ascii="Calibri" w:hAnsi="Calibri" w:cs="Calibri"/>
                <w:noProof/>
                <w:webHidden/>
              </w:rPr>
              <w:t>9</w:t>
            </w:r>
            <w:r w:rsidRPr="00AC3F36">
              <w:rPr>
                <w:rFonts w:ascii="Calibri" w:hAnsi="Calibri" w:cs="Calibri"/>
                <w:noProof/>
                <w:webHidden/>
              </w:rPr>
              <w:fldChar w:fldCharType="end"/>
            </w:r>
          </w:hyperlink>
        </w:p>
        <w:p w14:paraId="535A1E5A" w14:textId="5F4C2599" w:rsidR="00AC3F36" w:rsidRPr="00AC3F36" w:rsidRDefault="00AC3F36" w:rsidP="00AC3F36">
          <w:pPr>
            <w:pStyle w:val="TOC1"/>
            <w:tabs>
              <w:tab w:val="right" w:leader="dot" w:pos="9010"/>
            </w:tabs>
            <w:spacing w:line="360" w:lineRule="auto"/>
            <w:rPr>
              <w:rFonts w:ascii="Calibri" w:eastAsiaTheme="minorEastAsia" w:hAnsi="Calibri" w:cs="Calibri"/>
              <w:noProof/>
              <w:bdr w:val="none" w:sz="0" w:space="0" w:color="auto"/>
            </w:rPr>
          </w:pPr>
          <w:hyperlink w:anchor="_Toc122019058" w:history="1">
            <w:r w:rsidRPr="00AC3F36">
              <w:rPr>
                <w:rStyle w:val="Hyperlink"/>
                <w:rFonts w:ascii="Calibri" w:hAnsi="Calibri" w:cs="Calibri"/>
                <w:b/>
                <w:bCs/>
                <w:noProof/>
                <w:shd w:val="clear" w:color="auto" w:fill="C0C0C0"/>
              </w:rPr>
              <w:t>Annexe II: CORRESPONDANT D'HEMOVIGILANCE D'ETABLISSEMENT DE SANTE PUBLIC OU PRIVE, OU D’ETABLISSEMENT PRELEVEUR</w:t>
            </w:r>
            <w:r w:rsidRPr="00AC3F36">
              <w:rPr>
                <w:rFonts w:ascii="Calibri" w:hAnsi="Calibri" w:cs="Calibri"/>
                <w:noProof/>
                <w:webHidden/>
              </w:rPr>
              <w:tab/>
            </w:r>
            <w:r w:rsidRPr="00AC3F36">
              <w:rPr>
                <w:rFonts w:ascii="Calibri" w:hAnsi="Calibri" w:cs="Calibri"/>
                <w:noProof/>
                <w:webHidden/>
              </w:rPr>
              <w:fldChar w:fldCharType="begin"/>
            </w:r>
            <w:r w:rsidRPr="00AC3F36">
              <w:rPr>
                <w:rFonts w:ascii="Calibri" w:hAnsi="Calibri" w:cs="Calibri"/>
                <w:noProof/>
                <w:webHidden/>
              </w:rPr>
              <w:instrText xml:space="preserve"> PAGEREF _Toc122019058 \h </w:instrText>
            </w:r>
            <w:r w:rsidRPr="00AC3F36">
              <w:rPr>
                <w:rFonts w:ascii="Calibri" w:hAnsi="Calibri" w:cs="Calibri"/>
                <w:noProof/>
                <w:webHidden/>
              </w:rPr>
            </w:r>
            <w:r w:rsidRPr="00AC3F36">
              <w:rPr>
                <w:rFonts w:ascii="Calibri" w:hAnsi="Calibri" w:cs="Calibri"/>
                <w:noProof/>
                <w:webHidden/>
              </w:rPr>
              <w:fldChar w:fldCharType="separate"/>
            </w:r>
            <w:r w:rsidRPr="00AC3F36">
              <w:rPr>
                <w:rFonts w:ascii="Calibri" w:hAnsi="Calibri" w:cs="Calibri"/>
                <w:noProof/>
                <w:webHidden/>
              </w:rPr>
              <w:t>10</w:t>
            </w:r>
            <w:r w:rsidRPr="00AC3F36">
              <w:rPr>
                <w:rFonts w:ascii="Calibri" w:hAnsi="Calibri" w:cs="Calibri"/>
                <w:noProof/>
                <w:webHidden/>
              </w:rPr>
              <w:fldChar w:fldCharType="end"/>
            </w:r>
          </w:hyperlink>
        </w:p>
        <w:p w14:paraId="434B4D05" w14:textId="5E3D9A3E" w:rsidR="00AC3F36" w:rsidRPr="00AC3F36" w:rsidRDefault="00AC3F36" w:rsidP="00AC3F36">
          <w:pPr>
            <w:pStyle w:val="TOC1"/>
            <w:tabs>
              <w:tab w:val="right" w:leader="dot" w:pos="9010"/>
            </w:tabs>
            <w:spacing w:line="360" w:lineRule="auto"/>
            <w:rPr>
              <w:rFonts w:ascii="Calibri" w:eastAsiaTheme="minorEastAsia" w:hAnsi="Calibri" w:cs="Calibri"/>
              <w:noProof/>
              <w:bdr w:val="none" w:sz="0" w:space="0" w:color="auto"/>
            </w:rPr>
          </w:pPr>
          <w:hyperlink w:anchor="_Toc122019059" w:history="1">
            <w:r w:rsidRPr="00AC3F36">
              <w:rPr>
                <w:rStyle w:val="Hyperlink"/>
                <w:rFonts w:ascii="Calibri" w:hAnsi="Calibri" w:cs="Calibri"/>
                <w:b/>
                <w:bCs/>
                <w:noProof/>
                <w:shd w:val="clear" w:color="auto" w:fill="C0C0C0"/>
              </w:rPr>
              <w:t>Annexe III: COMITE DE SECURITE TRANSFUSIONNELLE ET D’HEMOVIGILANCE (CSTH)</w:t>
            </w:r>
            <w:r w:rsidRPr="00AC3F36">
              <w:rPr>
                <w:rFonts w:ascii="Calibri" w:hAnsi="Calibri" w:cs="Calibri"/>
                <w:noProof/>
                <w:webHidden/>
              </w:rPr>
              <w:tab/>
            </w:r>
            <w:r w:rsidRPr="00AC3F36">
              <w:rPr>
                <w:rFonts w:ascii="Calibri" w:hAnsi="Calibri" w:cs="Calibri"/>
                <w:noProof/>
                <w:webHidden/>
              </w:rPr>
              <w:fldChar w:fldCharType="begin"/>
            </w:r>
            <w:r w:rsidRPr="00AC3F36">
              <w:rPr>
                <w:rFonts w:ascii="Calibri" w:hAnsi="Calibri" w:cs="Calibri"/>
                <w:noProof/>
                <w:webHidden/>
              </w:rPr>
              <w:instrText xml:space="preserve"> PAGEREF _Toc122019059 \h </w:instrText>
            </w:r>
            <w:r w:rsidRPr="00AC3F36">
              <w:rPr>
                <w:rFonts w:ascii="Calibri" w:hAnsi="Calibri" w:cs="Calibri"/>
                <w:noProof/>
                <w:webHidden/>
              </w:rPr>
            </w:r>
            <w:r w:rsidRPr="00AC3F36">
              <w:rPr>
                <w:rFonts w:ascii="Calibri" w:hAnsi="Calibri" w:cs="Calibri"/>
                <w:noProof/>
                <w:webHidden/>
              </w:rPr>
              <w:fldChar w:fldCharType="separate"/>
            </w:r>
            <w:r w:rsidRPr="00AC3F36">
              <w:rPr>
                <w:rFonts w:ascii="Calibri" w:hAnsi="Calibri" w:cs="Calibri"/>
                <w:noProof/>
                <w:webHidden/>
              </w:rPr>
              <w:t>11</w:t>
            </w:r>
            <w:r w:rsidRPr="00AC3F36">
              <w:rPr>
                <w:rFonts w:ascii="Calibri" w:hAnsi="Calibri" w:cs="Calibri"/>
                <w:noProof/>
                <w:webHidden/>
              </w:rPr>
              <w:fldChar w:fldCharType="end"/>
            </w:r>
          </w:hyperlink>
        </w:p>
        <w:p w14:paraId="3AD688FE" w14:textId="30899891" w:rsidR="00AC3F36" w:rsidRPr="00AC3F36" w:rsidRDefault="00AC3F36" w:rsidP="00AC3F36">
          <w:pPr>
            <w:pStyle w:val="TOC1"/>
            <w:tabs>
              <w:tab w:val="right" w:leader="dot" w:pos="9010"/>
            </w:tabs>
            <w:spacing w:line="360" w:lineRule="auto"/>
            <w:rPr>
              <w:rFonts w:ascii="Calibri" w:eastAsiaTheme="minorEastAsia" w:hAnsi="Calibri" w:cs="Calibri"/>
              <w:noProof/>
              <w:bdr w:val="none" w:sz="0" w:space="0" w:color="auto"/>
            </w:rPr>
          </w:pPr>
          <w:hyperlink w:anchor="_Toc122019060" w:history="1">
            <w:r w:rsidRPr="00AC3F36">
              <w:rPr>
                <w:rStyle w:val="Hyperlink"/>
                <w:rFonts w:ascii="Calibri" w:hAnsi="Calibri" w:cs="Calibri"/>
                <w:b/>
                <w:bCs/>
                <w:noProof/>
                <w:shd w:val="clear" w:color="auto" w:fill="C0C0C0"/>
              </w:rPr>
              <w:t xml:space="preserve">Annexe IV: </w:t>
            </w:r>
            <w:r w:rsidRPr="00AC3F36">
              <w:rPr>
                <w:rStyle w:val="Hyperlink"/>
                <w:rFonts w:ascii="Calibri" w:hAnsi="Calibri" w:cs="Calibri"/>
                <w:b/>
                <w:bCs/>
                <w:noProof/>
              </w:rPr>
              <w:t>CONTENU ET MODALITÉS DE DÉCLARATION D'EFFET INDÉSIRABLE SURVENU CHEZ UN RECEVEUR DE PRODUIT SANGUIN LABILE</w:t>
            </w:r>
            <w:r w:rsidRPr="00AC3F36">
              <w:rPr>
                <w:rFonts w:ascii="Calibri" w:hAnsi="Calibri" w:cs="Calibri"/>
                <w:noProof/>
                <w:webHidden/>
              </w:rPr>
              <w:tab/>
            </w:r>
            <w:r w:rsidRPr="00AC3F36">
              <w:rPr>
                <w:rFonts w:ascii="Calibri" w:hAnsi="Calibri" w:cs="Calibri"/>
                <w:noProof/>
                <w:webHidden/>
              </w:rPr>
              <w:fldChar w:fldCharType="begin"/>
            </w:r>
            <w:r w:rsidRPr="00AC3F36">
              <w:rPr>
                <w:rFonts w:ascii="Calibri" w:hAnsi="Calibri" w:cs="Calibri"/>
                <w:noProof/>
                <w:webHidden/>
              </w:rPr>
              <w:instrText xml:space="preserve"> PAGEREF _Toc122019060 \h </w:instrText>
            </w:r>
            <w:r w:rsidRPr="00AC3F36">
              <w:rPr>
                <w:rFonts w:ascii="Calibri" w:hAnsi="Calibri" w:cs="Calibri"/>
                <w:noProof/>
                <w:webHidden/>
              </w:rPr>
            </w:r>
            <w:r w:rsidRPr="00AC3F36">
              <w:rPr>
                <w:rFonts w:ascii="Calibri" w:hAnsi="Calibri" w:cs="Calibri"/>
                <w:noProof/>
                <w:webHidden/>
              </w:rPr>
              <w:fldChar w:fldCharType="separate"/>
            </w:r>
            <w:r w:rsidRPr="00AC3F36">
              <w:rPr>
                <w:rFonts w:ascii="Calibri" w:hAnsi="Calibri" w:cs="Calibri"/>
                <w:noProof/>
                <w:webHidden/>
              </w:rPr>
              <w:t>12</w:t>
            </w:r>
            <w:r w:rsidRPr="00AC3F36">
              <w:rPr>
                <w:rFonts w:ascii="Calibri" w:hAnsi="Calibri" w:cs="Calibri"/>
                <w:noProof/>
                <w:webHidden/>
              </w:rPr>
              <w:fldChar w:fldCharType="end"/>
            </w:r>
          </w:hyperlink>
        </w:p>
        <w:p w14:paraId="53523963" w14:textId="4B7979C0" w:rsidR="00AC3F36" w:rsidRPr="00AC3F36" w:rsidRDefault="00AC3F36" w:rsidP="00AC3F36">
          <w:pPr>
            <w:pStyle w:val="TOC1"/>
            <w:tabs>
              <w:tab w:val="right" w:leader="dot" w:pos="9010"/>
            </w:tabs>
            <w:spacing w:line="360" w:lineRule="auto"/>
            <w:rPr>
              <w:rFonts w:ascii="Calibri" w:eastAsiaTheme="minorEastAsia" w:hAnsi="Calibri" w:cs="Calibri"/>
              <w:noProof/>
              <w:bdr w:val="none" w:sz="0" w:space="0" w:color="auto"/>
            </w:rPr>
          </w:pPr>
          <w:hyperlink w:anchor="_Toc122019061" w:history="1">
            <w:r w:rsidRPr="00AC3F36">
              <w:rPr>
                <w:rStyle w:val="Hyperlink"/>
                <w:rFonts w:ascii="Calibri" w:hAnsi="Calibri" w:cs="Calibri"/>
                <w:b/>
                <w:bCs/>
                <w:noProof/>
                <w:shd w:val="clear" w:color="auto" w:fill="C0C0C0"/>
                <w:lang w:val="fr-FR"/>
              </w:rPr>
              <w:t xml:space="preserve">Annexe V : </w:t>
            </w:r>
            <w:r w:rsidRPr="00AC3F36">
              <w:rPr>
                <w:rStyle w:val="Hyperlink"/>
                <w:rFonts w:ascii="Calibri" w:hAnsi="Calibri" w:cs="Calibri"/>
                <w:b/>
                <w:bCs/>
                <w:noProof/>
                <w:lang w:val="fr-FR"/>
              </w:rPr>
              <w:t>CONTENU ET MODALITÉS DE TRANSMISSION DE LA FICHE DE DÉCLARATION D'EFFET INDÉSIRABLE GRAVE DONNEUR</w:t>
            </w:r>
            <w:r w:rsidRPr="00AC3F36">
              <w:rPr>
                <w:rFonts w:ascii="Calibri" w:hAnsi="Calibri" w:cs="Calibri"/>
                <w:noProof/>
                <w:webHidden/>
              </w:rPr>
              <w:tab/>
            </w:r>
            <w:r w:rsidRPr="00AC3F36">
              <w:rPr>
                <w:rFonts w:ascii="Calibri" w:hAnsi="Calibri" w:cs="Calibri"/>
                <w:noProof/>
                <w:webHidden/>
              </w:rPr>
              <w:fldChar w:fldCharType="begin"/>
            </w:r>
            <w:r w:rsidRPr="00AC3F36">
              <w:rPr>
                <w:rFonts w:ascii="Calibri" w:hAnsi="Calibri" w:cs="Calibri"/>
                <w:noProof/>
                <w:webHidden/>
              </w:rPr>
              <w:instrText xml:space="preserve"> PAGEREF _Toc122019061 \h </w:instrText>
            </w:r>
            <w:r w:rsidRPr="00AC3F36">
              <w:rPr>
                <w:rFonts w:ascii="Calibri" w:hAnsi="Calibri" w:cs="Calibri"/>
                <w:noProof/>
                <w:webHidden/>
              </w:rPr>
            </w:r>
            <w:r w:rsidRPr="00AC3F36">
              <w:rPr>
                <w:rFonts w:ascii="Calibri" w:hAnsi="Calibri" w:cs="Calibri"/>
                <w:noProof/>
                <w:webHidden/>
              </w:rPr>
              <w:fldChar w:fldCharType="separate"/>
            </w:r>
            <w:r w:rsidRPr="00AC3F36">
              <w:rPr>
                <w:rFonts w:ascii="Calibri" w:hAnsi="Calibri" w:cs="Calibri"/>
                <w:noProof/>
                <w:webHidden/>
              </w:rPr>
              <w:t>14</w:t>
            </w:r>
            <w:r w:rsidRPr="00AC3F36">
              <w:rPr>
                <w:rFonts w:ascii="Calibri" w:hAnsi="Calibri" w:cs="Calibri"/>
                <w:noProof/>
                <w:webHidden/>
              </w:rPr>
              <w:fldChar w:fldCharType="end"/>
            </w:r>
          </w:hyperlink>
        </w:p>
        <w:p w14:paraId="5427FC1A" w14:textId="14705EE3" w:rsidR="00436257" w:rsidRDefault="00436257" w:rsidP="00AC3F36">
          <w:pPr>
            <w:spacing w:line="360" w:lineRule="auto"/>
          </w:pPr>
          <w:r w:rsidRPr="00AC3F36">
            <w:rPr>
              <w:rFonts w:ascii="Calibri" w:hAnsi="Calibri" w:cs="Calibri"/>
              <w:b/>
              <w:bCs/>
              <w:noProof/>
            </w:rPr>
            <w:fldChar w:fldCharType="end"/>
          </w:r>
        </w:p>
      </w:sdtContent>
    </w:sdt>
    <w:p w14:paraId="105EA8A9" w14:textId="77777777" w:rsidR="00F75374" w:rsidRPr="009E63E5" w:rsidRDefault="00F75374" w:rsidP="00F75374">
      <w:pPr>
        <w:pStyle w:val="Body"/>
        <w:jc w:val="both"/>
        <w:rPr>
          <w:rFonts w:ascii="Times New Roman" w:eastAsia="Times New Roman Bold" w:hAnsi="Times New Roman" w:cs="Times New Roman"/>
          <w:sz w:val="24"/>
          <w:szCs w:val="24"/>
          <w:u w:val="single"/>
        </w:rPr>
      </w:pPr>
    </w:p>
    <w:p w14:paraId="1A792487" w14:textId="77777777" w:rsidR="00F75374" w:rsidRPr="009E63E5" w:rsidRDefault="00F75374" w:rsidP="00F75374">
      <w:pPr>
        <w:pStyle w:val="Body"/>
        <w:jc w:val="both"/>
        <w:rPr>
          <w:rFonts w:ascii="Times New Roman" w:eastAsia="Times New Roman Bold" w:hAnsi="Times New Roman" w:cs="Times New Roman"/>
          <w:sz w:val="24"/>
          <w:szCs w:val="24"/>
          <w:u w:val="single"/>
        </w:rPr>
      </w:pPr>
    </w:p>
    <w:p w14:paraId="05D92907" w14:textId="77777777" w:rsidR="00436257" w:rsidRPr="009E63E5" w:rsidRDefault="00436257" w:rsidP="00F75374">
      <w:pPr>
        <w:pStyle w:val="Body"/>
        <w:jc w:val="both"/>
        <w:rPr>
          <w:rFonts w:ascii="Times New Roman" w:eastAsia="Times New Roman Bold" w:hAnsi="Times New Roman" w:cs="Times New Roman"/>
          <w:sz w:val="24"/>
          <w:szCs w:val="24"/>
          <w:u w:val="single"/>
        </w:rPr>
      </w:pPr>
    </w:p>
    <w:p w14:paraId="3C60E549" w14:textId="77777777" w:rsidR="00F75374" w:rsidRPr="009E63E5" w:rsidRDefault="00F75374" w:rsidP="00F75374">
      <w:pPr>
        <w:pStyle w:val="Body"/>
        <w:jc w:val="both"/>
        <w:rPr>
          <w:rFonts w:ascii="Times New Roman" w:eastAsia="Times New Roman Bold" w:hAnsi="Times New Roman" w:cs="Times New Roman"/>
          <w:sz w:val="24"/>
          <w:szCs w:val="24"/>
          <w:u w:val="single"/>
        </w:rPr>
      </w:pPr>
    </w:p>
    <w:p w14:paraId="47F3BDAE" w14:textId="77777777" w:rsidR="00F75374" w:rsidRPr="009E63E5" w:rsidRDefault="00F75374" w:rsidP="00F75374">
      <w:pPr>
        <w:pStyle w:val="Body"/>
        <w:jc w:val="both"/>
        <w:rPr>
          <w:rFonts w:ascii="Times New Roman" w:eastAsia="Times New Roman Bold" w:hAnsi="Times New Roman" w:cs="Times New Roman"/>
          <w:sz w:val="24"/>
          <w:szCs w:val="24"/>
          <w:u w:val="single"/>
        </w:rPr>
      </w:pPr>
    </w:p>
    <w:p w14:paraId="3171D79B" w14:textId="6378E53F" w:rsidR="000430F1" w:rsidRPr="0057205A" w:rsidRDefault="00ED5F28" w:rsidP="0057205A">
      <w:pPr>
        <w:pStyle w:val="Heading1"/>
        <w:spacing w:line="276" w:lineRule="auto"/>
        <w:rPr>
          <w:rFonts w:ascii="Calibri" w:hAnsi="Calibri" w:cs="Calibri"/>
          <w:b/>
          <w:bCs/>
          <w:color w:val="C00000"/>
        </w:rPr>
      </w:pPr>
      <w:bookmarkStart w:id="0" w:name="_Toc122019048"/>
      <w:r w:rsidRPr="0057205A">
        <w:rPr>
          <w:rFonts w:ascii="Calibri" w:hAnsi="Calibri" w:cs="Calibri"/>
          <w:b/>
          <w:bCs/>
          <w:color w:val="C00000"/>
        </w:rPr>
        <w:lastRenderedPageBreak/>
        <w:t xml:space="preserve">Première </w:t>
      </w:r>
      <w:proofErr w:type="spellStart"/>
      <w:r w:rsidR="00436257" w:rsidRPr="0057205A">
        <w:rPr>
          <w:rFonts w:ascii="Calibri" w:hAnsi="Calibri" w:cs="Calibri"/>
          <w:b/>
          <w:bCs/>
          <w:color w:val="C00000"/>
        </w:rPr>
        <w:t>Partie</w:t>
      </w:r>
      <w:proofErr w:type="spellEnd"/>
      <w:r w:rsidR="00436257" w:rsidRPr="0057205A">
        <w:rPr>
          <w:rFonts w:ascii="Calibri" w:hAnsi="Calibri" w:cs="Calibri"/>
          <w:b/>
          <w:bCs/>
          <w:color w:val="C00000"/>
        </w:rPr>
        <w:t>:</w:t>
      </w:r>
      <w:r w:rsidRPr="0057205A">
        <w:rPr>
          <w:rFonts w:ascii="Calibri" w:hAnsi="Calibri" w:cs="Calibri"/>
          <w:b/>
          <w:bCs/>
          <w:color w:val="C00000"/>
        </w:rPr>
        <w:t xml:space="preserve"> </w:t>
      </w:r>
      <w:r w:rsidR="004D493A" w:rsidRPr="0057205A">
        <w:rPr>
          <w:rFonts w:ascii="Calibri" w:hAnsi="Calibri" w:cs="Calibri"/>
          <w:b/>
          <w:bCs/>
          <w:color w:val="C00000"/>
        </w:rPr>
        <w:t>STRU</w:t>
      </w:r>
      <w:r w:rsidR="00382EBE" w:rsidRPr="0057205A">
        <w:rPr>
          <w:rFonts w:ascii="Calibri" w:hAnsi="Calibri" w:cs="Calibri"/>
          <w:b/>
          <w:bCs/>
          <w:color w:val="C00000"/>
        </w:rPr>
        <w:t>C</w:t>
      </w:r>
      <w:r w:rsidR="004D493A" w:rsidRPr="0057205A">
        <w:rPr>
          <w:rFonts w:ascii="Calibri" w:hAnsi="Calibri" w:cs="Calibri"/>
          <w:b/>
          <w:bCs/>
          <w:color w:val="C00000"/>
        </w:rPr>
        <w:t xml:space="preserve">TURE </w:t>
      </w:r>
      <w:r w:rsidR="00213BFF" w:rsidRPr="0057205A">
        <w:rPr>
          <w:rFonts w:ascii="Calibri" w:hAnsi="Calibri" w:cs="Calibri"/>
          <w:b/>
          <w:bCs/>
          <w:color w:val="C00000"/>
        </w:rPr>
        <w:t>DE L’HEMOVIGILANCE</w:t>
      </w:r>
      <w:bookmarkEnd w:id="0"/>
    </w:p>
    <w:p w14:paraId="2FFF95E1" w14:textId="77777777" w:rsidR="00436257" w:rsidRPr="0057205A" w:rsidRDefault="00436257" w:rsidP="0057205A">
      <w:pPr>
        <w:spacing w:line="276" w:lineRule="auto"/>
        <w:rPr>
          <w:rFonts w:ascii="Calibri" w:hAnsi="Calibri" w:cs="Calibri"/>
        </w:rPr>
      </w:pPr>
    </w:p>
    <w:p w14:paraId="77692029" w14:textId="7707B3A0" w:rsidR="000430F1" w:rsidRPr="0057205A" w:rsidRDefault="00ED5F28" w:rsidP="0057205A">
      <w:pPr>
        <w:pStyle w:val="Heading1"/>
        <w:numPr>
          <w:ilvl w:val="0"/>
          <w:numId w:val="30"/>
        </w:numPr>
        <w:spacing w:line="276" w:lineRule="auto"/>
        <w:rPr>
          <w:rFonts w:ascii="Calibri" w:hAnsi="Calibri" w:cs="Calibri"/>
          <w:b/>
          <w:bCs/>
          <w:color w:val="C00000"/>
          <w:sz w:val="22"/>
          <w:szCs w:val="22"/>
          <w:u w:val="single"/>
          <w:lang w:val="fr-FR"/>
        </w:rPr>
      </w:pPr>
      <w:bookmarkStart w:id="1" w:name="_Toc122019049"/>
      <w:r w:rsidRPr="0057205A">
        <w:rPr>
          <w:rFonts w:ascii="Calibri" w:hAnsi="Calibri" w:cs="Calibri"/>
          <w:b/>
          <w:bCs/>
          <w:color w:val="C00000"/>
          <w:sz w:val="22"/>
          <w:szCs w:val="22"/>
          <w:u w:val="single"/>
          <w:lang w:val="fr-FR"/>
        </w:rPr>
        <w:t>Définition :</w:t>
      </w:r>
      <w:bookmarkEnd w:id="1"/>
    </w:p>
    <w:p w14:paraId="7D830944" w14:textId="77777777" w:rsidR="00436257" w:rsidRPr="0057205A" w:rsidRDefault="00436257" w:rsidP="0057205A">
      <w:pPr>
        <w:spacing w:line="276" w:lineRule="auto"/>
        <w:rPr>
          <w:rFonts w:ascii="Calibri" w:hAnsi="Calibri" w:cs="Calibri"/>
          <w:sz w:val="22"/>
          <w:szCs w:val="22"/>
          <w:lang w:val="fr-FR"/>
        </w:rPr>
      </w:pPr>
    </w:p>
    <w:p w14:paraId="1703B058" w14:textId="1128FBF2" w:rsidR="00195ABC" w:rsidRPr="0057205A" w:rsidRDefault="00AC3F36" w:rsidP="0057205A">
      <w:pPr>
        <w:pStyle w:val="NormalWeb"/>
        <w:shd w:val="clear" w:color="auto" w:fill="FFFFFF"/>
        <w:spacing w:before="0" w:after="120" w:line="276" w:lineRule="auto"/>
        <w:jc w:val="both"/>
        <w:rPr>
          <w:rFonts w:ascii="Calibri" w:hAnsi="Calibri" w:cs="Calibri"/>
          <w:color w:val="000000" w:themeColor="text1"/>
          <w:sz w:val="22"/>
          <w:szCs w:val="22"/>
          <w:u w:color="3A3A3A"/>
          <w:lang w:val="fr-FR"/>
        </w:rPr>
      </w:pPr>
      <w:hyperlink r:id="rId7" w:history="1">
        <w:r w:rsidR="00ED5F28" w:rsidRPr="0057205A">
          <w:rPr>
            <w:rStyle w:val="Hyperlink0"/>
            <w:rFonts w:ascii="Calibri" w:hAnsi="Calibri" w:cs="Calibri"/>
            <w:color w:val="000000" w:themeColor="text1"/>
            <w:sz w:val="22"/>
            <w:szCs w:val="22"/>
          </w:rPr>
          <w:t>L’Hémovigilance </w:t>
        </w:r>
      </w:hyperlink>
      <w:r w:rsidR="00ED5F28" w:rsidRPr="0057205A">
        <w:rPr>
          <w:rFonts w:ascii="Calibri" w:hAnsi="Calibri" w:cs="Calibri"/>
          <w:color w:val="000000" w:themeColor="text1"/>
          <w:sz w:val="22"/>
          <w:szCs w:val="22"/>
          <w:lang w:val="fr-FR"/>
        </w:rPr>
        <w:t>(HV) est définie comme</w:t>
      </w:r>
      <w:r w:rsidR="009A5A13" w:rsidRPr="0057205A">
        <w:rPr>
          <w:rFonts w:ascii="Calibri" w:hAnsi="Calibri" w:cs="Calibri"/>
          <w:color w:val="000000" w:themeColor="text1"/>
          <w:sz w:val="22"/>
          <w:szCs w:val="22"/>
          <w:lang w:val="fr-FR"/>
        </w:rPr>
        <w:t xml:space="preserve"> « l’ensemble</w:t>
      </w:r>
      <w:r w:rsidR="00ED5F28" w:rsidRPr="0057205A">
        <w:rPr>
          <w:rFonts w:ascii="Calibri" w:hAnsi="Calibri" w:cs="Calibri"/>
          <w:color w:val="000000" w:themeColor="text1"/>
          <w:sz w:val="22"/>
          <w:szCs w:val="22"/>
          <w:lang w:val="fr-FR"/>
        </w:rPr>
        <w:t xml:space="preserve"> des procédures de surveillance, d'évaluation et</w:t>
      </w:r>
      <w:r w:rsidR="00ED5F28" w:rsidRPr="0057205A">
        <w:rPr>
          <w:rFonts w:ascii="Calibri" w:hAnsi="Calibri" w:cs="Calibri"/>
          <w:color w:val="000000" w:themeColor="text1"/>
          <w:sz w:val="22"/>
          <w:szCs w:val="22"/>
          <w:u w:color="3A3A3A"/>
          <w:lang w:val="fr-FR"/>
        </w:rPr>
        <w:t xml:space="preserve"> de prévention des incidents et des effets indésirables survenant chez les </w:t>
      </w:r>
      <w:r w:rsidR="00D55C93" w:rsidRPr="0057205A">
        <w:rPr>
          <w:rFonts w:ascii="Calibri" w:hAnsi="Calibri" w:cs="Calibri"/>
          <w:color w:val="000000" w:themeColor="text1"/>
          <w:sz w:val="22"/>
          <w:szCs w:val="22"/>
          <w:u w:color="3A3A3A"/>
          <w:lang w:val="fr-FR"/>
        </w:rPr>
        <w:t>D</w:t>
      </w:r>
      <w:r w:rsidR="00ED5F28" w:rsidRPr="0057205A">
        <w:rPr>
          <w:rFonts w:ascii="Calibri" w:hAnsi="Calibri" w:cs="Calibri"/>
          <w:color w:val="000000" w:themeColor="text1"/>
          <w:sz w:val="22"/>
          <w:szCs w:val="22"/>
          <w:u w:color="3A3A3A"/>
          <w:lang w:val="fr-FR"/>
        </w:rPr>
        <w:t xml:space="preserve">onneurs ou les </w:t>
      </w:r>
      <w:r w:rsidR="00D55C93" w:rsidRPr="0057205A">
        <w:rPr>
          <w:rFonts w:ascii="Calibri" w:hAnsi="Calibri" w:cs="Calibri"/>
          <w:color w:val="000000" w:themeColor="text1"/>
          <w:sz w:val="22"/>
          <w:szCs w:val="22"/>
          <w:u w:color="3A3A3A"/>
          <w:lang w:val="fr-FR"/>
        </w:rPr>
        <w:t>R</w:t>
      </w:r>
      <w:r w:rsidR="00ED5F28" w:rsidRPr="0057205A">
        <w:rPr>
          <w:rFonts w:ascii="Calibri" w:hAnsi="Calibri" w:cs="Calibri"/>
          <w:color w:val="000000" w:themeColor="text1"/>
          <w:sz w:val="22"/>
          <w:szCs w:val="22"/>
          <w:u w:color="3A3A3A"/>
          <w:lang w:val="fr-FR"/>
        </w:rPr>
        <w:t>eceveurs de p</w:t>
      </w:r>
      <w:r w:rsidR="00AD0555" w:rsidRPr="0057205A">
        <w:rPr>
          <w:rFonts w:ascii="Calibri" w:hAnsi="Calibri" w:cs="Calibri"/>
          <w:color w:val="000000" w:themeColor="text1"/>
          <w:sz w:val="22"/>
          <w:szCs w:val="22"/>
          <w:u w:color="3A3A3A"/>
          <w:lang w:val="fr-FR"/>
        </w:rPr>
        <w:t>roduits sanguins labiles (PSL</w:t>
      </w:r>
      <w:r w:rsidR="00436257" w:rsidRPr="0057205A">
        <w:rPr>
          <w:rFonts w:ascii="Calibri" w:hAnsi="Calibri" w:cs="Calibri"/>
          <w:color w:val="000000" w:themeColor="text1"/>
          <w:sz w:val="22"/>
          <w:szCs w:val="22"/>
          <w:u w:color="3A3A3A"/>
          <w:lang w:val="fr-FR"/>
        </w:rPr>
        <w:t>) »</w:t>
      </w:r>
      <w:r w:rsidR="00434C2F" w:rsidRPr="0057205A">
        <w:rPr>
          <w:rFonts w:ascii="Calibri" w:hAnsi="Calibri" w:cs="Calibri"/>
          <w:color w:val="000000" w:themeColor="text1"/>
          <w:sz w:val="22"/>
          <w:szCs w:val="22"/>
          <w:u w:color="3A3A3A"/>
          <w:lang w:val="fr-FR"/>
        </w:rPr>
        <w:t>.</w:t>
      </w:r>
    </w:p>
    <w:p w14:paraId="0390E5BB" w14:textId="77777777" w:rsidR="00195ABC" w:rsidRPr="0057205A" w:rsidRDefault="00195ABC" w:rsidP="0057205A">
      <w:pPr>
        <w:pStyle w:val="NormalWeb"/>
        <w:shd w:val="clear" w:color="auto" w:fill="FFFFFF"/>
        <w:spacing w:before="0" w:after="0" w:line="276" w:lineRule="auto"/>
        <w:jc w:val="both"/>
        <w:rPr>
          <w:rFonts w:ascii="Calibri" w:hAnsi="Calibri" w:cs="Calibri"/>
          <w:color w:val="000000" w:themeColor="text1"/>
          <w:sz w:val="22"/>
          <w:szCs w:val="22"/>
          <w:u w:color="3A3A3A"/>
          <w:lang w:val="fr-FR"/>
        </w:rPr>
      </w:pPr>
    </w:p>
    <w:p w14:paraId="68C9EE87" w14:textId="0FF72977" w:rsidR="000430F1" w:rsidRPr="0057205A" w:rsidRDefault="00715787" w:rsidP="0057205A">
      <w:pPr>
        <w:pStyle w:val="Heading1"/>
        <w:numPr>
          <w:ilvl w:val="0"/>
          <w:numId w:val="30"/>
        </w:numPr>
        <w:spacing w:line="276" w:lineRule="auto"/>
        <w:rPr>
          <w:rFonts w:ascii="Calibri" w:hAnsi="Calibri" w:cs="Calibri"/>
          <w:b/>
          <w:bCs/>
          <w:color w:val="C00000"/>
          <w:sz w:val="22"/>
          <w:szCs w:val="22"/>
          <w:u w:val="single"/>
        </w:rPr>
      </w:pPr>
      <w:bookmarkStart w:id="2" w:name="_Toc122019050"/>
      <w:r w:rsidRPr="0057205A">
        <w:rPr>
          <w:rFonts w:ascii="Calibri" w:hAnsi="Calibri" w:cs="Calibri"/>
          <w:b/>
          <w:bCs/>
          <w:color w:val="C00000"/>
          <w:sz w:val="22"/>
          <w:szCs w:val="22"/>
          <w:u w:val="single"/>
        </w:rPr>
        <w:t>Domaine</w:t>
      </w:r>
      <w:r w:rsidR="00ED5F28" w:rsidRPr="0057205A">
        <w:rPr>
          <w:rFonts w:ascii="Calibri" w:hAnsi="Calibri" w:cs="Calibri"/>
          <w:b/>
          <w:bCs/>
          <w:color w:val="C00000"/>
          <w:sz w:val="22"/>
          <w:szCs w:val="22"/>
          <w:u w:val="single"/>
        </w:rPr>
        <w:t xml:space="preserve"> </w:t>
      </w:r>
      <w:proofErr w:type="spellStart"/>
      <w:r w:rsidR="00436257" w:rsidRPr="0057205A">
        <w:rPr>
          <w:rFonts w:ascii="Calibri" w:hAnsi="Calibri" w:cs="Calibri"/>
          <w:b/>
          <w:bCs/>
          <w:color w:val="C00000"/>
          <w:sz w:val="22"/>
          <w:szCs w:val="22"/>
          <w:u w:val="single"/>
        </w:rPr>
        <w:t>d’application</w:t>
      </w:r>
      <w:proofErr w:type="spellEnd"/>
      <w:r w:rsidR="00436257" w:rsidRPr="0057205A">
        <w:rPr>
          <w:rFonts w:ascii="Calibri" w:hAnsi="Calibri" w:cs="Calibri"/>
          <w:b/>
          <w:bCs/>
          <w:color w:val="C00000"/>
          <w:sz w:val="22"/>
          <w:szCs w:val="22"/>
          <w:u w:val="single"/>
        </w:rPr>
        <w:t>:</w:t>
      </w:r>
      <w:bookmarkEnd w:id="2"/>
    </w:p>
    <w:p w14:paraId="5B55A00C" w14:textId="77777777" w:rsidR="00436257" w:rsidRPr="0057205A" w:rsidRDefault="00436257" w:rsidP="0057205A">
      <w:pPr>
        <w:spacing w:line="276" w:lineRule="auto"/>
        <w:rPr>
          <w:rFonts w:ascii="Calibri" w:hAnsi="Calibri" w:cs="Calibri"/>
        </w:rPr>
      </w:pPr>
    </w:p>
    <w:p w14:paraId="25D0A8B5" w14:textId="77777777" w:rsidR="000430F1" w:rsidRPr="0057205A" w:rsidRDefault="00ED5F28" w:rsidP="0057205A">
      <w:pPr>
        <w:pStyle w:val="NormalWeb"/>
        <w:shd w:val="clear" w:color="auto" w:fill="FFFFFF"/>
        <w:spacing w:before="0" w:after="120" w:line="276" w:lineRule="auto"/>
        <w:jc w:val="both"/>
        <w:rPr>
          <w:rFonts w:ascii="Calibri" w:hAnsi="Calibri" w:cs="Calibri"/>
          <w:color w:val="000000" w:themeColor="text1"/>
          <w:sz w:val="22"/>
          <w:szCs w:val="22"/>
          <w:u w:color="3A3A3A"/>
          <w:lang w:val="fr-FR"/>
        </w:rPr>
      </w:pPr>
      <w:r w:rsidRPr="0057205A">
        <w:rPr>
          <w:rFonts w:ascii="Calibri" w:hAnsi="Calibri" w:cs="Calibri"/>
          <w:color w:val="000000" w:themeColor="text1"/>
          <w:sz w:val="22"/>
          <w:szCs w:val="22"/>
          <w:u w:color="3A3A3A"/>
          <w:lang w:val="fr-FR"/>
        </w:rPr>
        <w:t xml:space="preserve">L'HV porte sur l'ensemble de la chaîne transfusionnelle depuis la collecte des </w:t>
      </w:r>
      <w:r w:rsidR="002F65C6" w:rsidRPr="0057205A">
        <w:rPr>
          <w:rFonts w:ascii="Calibri" w:hAnsi="Calibri" w:cs="Calibri"/>
          <w:color w:val="000000" w:themeColor="text1"/>
          <w:sz w:val="22"/>
          <w:szCs w:val="22"/>
          <w:u w:color="3A3A3A"/>
          <w:lang w:val="fr-FR"/>
        </w:rPr>
        <w:t>PSL</w:t>
      </w:r>
      <w:r w:rsidRPr="0057205A">
        <w:rPr>
          <w:rFonts w:ascii="Calibri" w:hAnsi="Calibri" w:cs="Calibri"/>
          <w:color w:val="000000" w:themeColor="text1"/>
          <w:sz w:val="22"/>
          <w:szCs w:val="22"/>
          <w:u w:color="3A3A3A"/>
          <w:lang w:val="fr-FR"/>
        </w:rPr>
        <w:t xml:space="preserve"> jusqu’au suivi des </w:t>
      </w:r>
      <w:r w:rsidR="00195ABC" w:rsidRPr="0057205A">
        <w:rPr>
          <w:rFonts w:ascii="Calibri" w:hAnsi="Calibri" w:cs="Calibri"/>
          <w:color w:val="000000" w:themeColor="text1"/>
          <w:sz w:val="22"/>
          <w:szCs w:val="22"/>
          <w:u w:color="3A3A3A"/>
          <w:lang w:val="fr-FR"/>
        </w:rPr>
        <w:t>R</w:t>
      </w:r>
      <w:r w:rsidRPr="0057205A">
        <w:rPr>
          <w:rFonts w:ascii="Calibri" w:hAnsi="Calibri" w:cs="Calibri"/>
          <w:color w:val="000000" w:themeColor="text1"/>
          <w:sz w:val="22"/>
          <w:szCs w:val="22"/>
          <w:u w:color="3A3A3A"/>
          <w:lang w:val="fr-FR"/>
        </w:rPr>
        <w:t>eceveurs. Elle comprend également le suivi épidémiologique des donneurs.</w:t>
      </w:r>
    </w:p>
    <w:p w14:paraId="50E4DE4D" w14:textId="77777777" w:rsidR="000430F1" w:rsidRPr="0057205A" w:rsidRDefault="000430F1" w:rsidP="0057205A">
      <w:pPr>
        <w:pStyle w:val="NormalWeb"/>
        <w:shd w:val="clear" w:color="auto" w:fill="FFFFFF"/>
        <w:spacing w:before="0" w:after="0" w:line="276" w:lineRule="auto"/>
        <w:jc w:val="both"/>
        <w:rPr>
          <w:rFonts w:ascii="Calibri" w:hAnsi="Calibri" w:cs="Calibri"/>
          <w:color w:val="000000" w:themeColor="text1"/>
          <w:sz w:val="22"/>
          <w:szCs w:val="22"/>
          <w:u w:color="3A3A3A"/>
          <w:lang w:val="fr-FR"/>
        </w:rPr>
      </w:pPr>
    </w:p>
    <w:p w14:paraId="30AB32B7" w14:textId="4B5B8848" w:rsidR="00D55C93" w:rsidRPr="0057205A" w:rsidRDefault="009A5A13" w:rsidP="0057205A">
      <w:pPr>
        <w:pStyle w:val="Heading1"/>
        <w:numPr>
          <w:ilvl w:val="0"/>
          <w:numId w:val="30"/>
        </w:numPr>
        <w:spacing w:line="276" w:lineRule="auto"/>
        <w:rPr>
          <w:rFonts w:ascii="Calibri" w:hAnsi="Calibri" w:cs="Calibri"/>
          <w:b/>
          <w:bCs/>
          <w:color w:val="C00000"/>
          <w:sz w:val="22"/>
          <w:szCs w:val="22"/>
          <w:u w:color="3A3A3A"/>
        </w:rPr>
      </w:pPr>
      <w:bookmarkStart w:id="3" w:name="_Toc122019051"/>
      <w:proofErr w:type="spellStart"/>
      <w:r w:rsidRPr="0057205A">
        <w:rPr>
          <w:rFonts w:ascii="Calibri" w:hAnsi="Calibri" w:cs="Calibri"/>
          <w:b/>
          <w:bCs/>
          <w:color w:val="C00000"/>
          <w:sz w:val="22"/>
          <w:szCs w:val="22"/>
          <w:u w:color="3A3A3A"/>
        </w:rPr>
        <w:t>Objectifs</w:t>
      </w:r>
      <w:proofErr w:type="spellEnd"/>
      <w:r w:rsidRPr="0057205A">
        <w:rPr>
          <w:rFonts w:ascii="Calibri" w:hAnsi="Calibri" w:cs="Calibri"/>
          <w:b/>
          <w:bCs/>
          <w:color w:val="C00000"/>
          <w:sz w:val="22"/>
          <w:szCs w:val="22"/>
          <w:u w:color="3A3A3A"/>
        </w:rPr>
        <w:t>:</w:t>
      </w:r>
      <w:bookmarkEnd w:id="3"/>
    </w:p>
    <w:p w14:paraId="11880807" w14:textId="77777777" w:rsidR="00436257" w:rsidRPr="0057205A" w:rsidRDefault="00436257" w:rsidP="0057205A">
      <w:pPr>
        <w:spacing w:line="276" w:lineRule="auto"/>
        <w:rPr>
          <w:rFonts w:ascii="Calibri" w:hAnsi="Calibri" w:cs="Calibri"/>
          <w:lang w:val="fr-FR"/>
        </w:rPr>
      </w:pPr>
    </w:p>
    <w:p w14:paraId="32C57438" w14:textId="77777777" w:rsidR="000430F1" w:rsidRPr="0057205A" w:rsidRDefault="00ED5F28" w:rsidP="0057205A">
      <w:pPr>
        <w:pStyle w:val="NormalWeb"/>
        <w:shd w:val="clear" w:color="auto" w:fill="FFFFFF"/>
        <w:spacing w:before="0" w:after="120" w:line="276" w:lineRule="auto"/>
        <w:jc w:val="both"/>
        <w:rPr>
          <w:rFonts w:ascii="Calibri" w:hAnsi="Calibri" w:cs="Calibri"/>
          <w:color w:val="000000" w:themeColor="text1"/>
          <w:sz w:val="22"/>
          <w:szCs w:val="22"/>
          <w:u w:color="3A3A3A"/>
          <w:lang w:val="fr-FR"/>
        </w:rPr>
      </w:pPr>
      <w:r w:rsidRPr="0057205A">
        <w:rPr>
          <w:rFonts w:ascii="Calibri" w:hAnsi="Calibri" w:cs="Calibri"/>
          <w:color w:val="000000" w:themeColor="text1"/>
          <w:sz w:val="22"/>
          <w:szCs w:val="22"/>
          <w:u w:color="3A3A3A"/>
          <w:lang w:val="fr-FR"/>
        </w:rPr>
        <w:t xml:space="preserve">Les objectifs </w:t>
      </w:r>
      <w:r w:rsidR="00D55C93" w:rsidRPr="0057205A">
        <w:rPr>
          <w:rFonts w:ascii="Calibri" w:hAnsi="Calibri" w:cs="Calibri"/>
          <w:color w:val="000000" w:themeColor="text1"/>
          <w:sz w:val="22"/>
          <w:szCs w:val="22"/>
          <w:u w:color="3A3A3A"/>
          <w:lang w:val="fr-FR"/>
        </w:rPr>
        <w:t xml:space="preserve">principaux de l'HV </w:t>
      </w:r>
      <w:r w:rsidRPr="0057205A">
        <w:rPr>
          <w:rFonts w:ascii="Calibri" w:hAnsi="Calibri" w:cs="Calibri"/>
          <w:color w:val="000000" w:themeColor="text1"/>
          <w:sz w:val="22"/>
          <w:szCs w:val="22"/>
          <w:u w:color="3A3A3A"/>
          <w:lang w:val="fr-FR"/>
        </w:rPr>
        <w:t>sont</w:t>
      </w:r>
      <w:r w:rsidR="00D55C93" w:rsidRPr="0057205A">
        <w:rPr>
          <w:rFonts w:ascii="Calibri" w:hAnsi="Calibri" w:cs="Calibri"/>
          <w:color w:val="000000" w:themeColor="text1"/>
          <w:sz w:val="22"/>
          <w:szCs w:val="22"/>
          <w:u w:color="3A3A3A"/>
          <w:lang w:val="fr-FR"/>
        </w:rPr>
        <w:t xml:space="preserve"> </w:t>
      </w:r>
      <w:r w:rsidRPr="0057205A">
        <w:rPr>
          <w:rFonts w:ascii="Calibri" w:hAnsi="Calibri" w:cs="Calibri"/>
          <w:color w:val="000000" w:themeColor="text1"/>
          <w:sz w:val="22"/>
          <w:szCs w:val="22"/>
          <w:u w:color="3A3A3A"/>
          <w:lang w:val="fr-FR"/>
        </w:rPr>
        <w:t>:</w:t>
      </w:r>
    </w:p>
    <w:p w14:paraId="5C0844BC" w14:textId="0100617C" w:rsidR="000430F1" w:rsidRPr="0057205A" w:rsidRDefault="00D64D48" w:rsidP="0057205A">
      <w:pPr>
        <w:pStyle w:val="NormalWeb"/>
        <w:shd w:val="clear" w:color="auto" w:fill="FFFFFF"/>
        <w:spacing w:before="0" w:after="0" w:line="276" w:lineRule="auto"/>
        <w:rPr>
          <w:rFonts w:ascii="Calibri" w:hAnsi="Calibri" w:cs="Calibri"/>
          <w:i/>
          <w:iCs/>
          <w:color w:val="000000" w:themeColor="text1"/>
          <w:sz w:val="22"/>
          <w:szCs w:val="22"/>
          <w:u w:color="3A3A3A"/>
          <w:lang w:val="fr-FR"/>
        </w:rPr>
      </w:pPr>
      <w:r w:rsidRPr="0057205A">
        <w:rPr>
          <w:rFonts w:ascii="Calibri" w:hAnsi="Calibri" w:cs="Calibri"/>
          <w:i/>
          <w:iCs/>
          <w:color w:val="000000" w:themeColor="text1"/>
          <w:sz w:val="22"/>
          <w:szCs w:val="22"/>
          <w:u w:color="3A3A3A"/>
          <w:lang w:val="fr-FR"/>
        </w:rPr>
        <w:t xml:space="preserve">- La prévention des incidents </w:t>
      </w:r>
      <w:r w:rsidR="009A5A13" w:rsidRPr="0057205A">
        <w:rPr>
          <w:rFonts w:ascii="Calibri" w:hAnsi="Calibri" w:cs="Calibri"/>
          <w:i/>
          <w:iCs/>
          <w:color w:val="000000" w:themeColor="text1"/>
          <w:sz w:val="22"/>
          <w:szCs w:val="22"/>
          <w:u w:color="3A3A3A"/>
          <w:lang w:val="fr-FR"/>
        </w:rPr>
        <w:t>et des</w:t>
      </w:r>
      <w:r w:rsidR="00ED5F28" w:rsidRPr="0057205A">
        <w:rPr>
          <w:rFonts w:ascii="Calibri" w:hAnsi="Calibri" w:cs="Calibri"/>
          <w:i/>
          <w:iCs/>
          <w:color w:val="000000" w:themeColor="text1"/>
          <w:sz w:val="22"/>
          <w:szCs w:val="22"/>
          <w:u w:color="3A3A3A"/>
          <w:lang w:val="fr-FR"/>
        </w:rPr>
        <w:t xml:space="preserve"> effets indésirables </w:t>
      </w:r>
      <w:r w:rsidR="00AA53BD" w:rsidRPr="0057205A">
        <w:rPr>
          <w:rFonts w:ascii="Calibri" w:hAnsi="Calibri" w:cs="Calibri"/>
          <w:i/>
          <w:iCs/>
          <w:color w:val="000000" w:themeColor="text1"/>
          <w:sz w:val="22"/>
          <w:szCs w:val="22"/>
          <w:u w:color="3A3A3A"/>
          <w:lang w:val="fr-FR"/>
        </w:rPr>
        <w:t xml:space="preserve">chez </w:t>
      </w:r>
      <w:r w:rsidR="00337FAB" w:rsidRPr="0057205A">
        <w:rPr>
          <w:rFonts w:ascii="Calibri" w:hAnsi="Calibri" w:cs="Calibri"/>
          <w:i/>
          <w:iCs/>
          <w:color w:val="000000" w:themeColor="text1"/>
          <w:sz w:val="22"/>
          <w:szCs w:val="22"/>
          <w:u w:color="3A3A3A"/>
          <w:lang w:val="fr-FR"/>
        </w:rPr>
        <w:t>le Donneur et le R</w:t>
      </w:r>
      <w:r w:rsidR="00AA53BD" w:rsidRPr="0057205A">
        <w:rPr>
          <w:rFonts w:ascii="Calibri" w:hAnsi="Calibri" w:cs="Calibri"/>
          <w:i/>
          <w:iCs/>
          <w:color w:val="000000" w:themeColor="text1"/>
          <w:sz w:val="22"/>
          <w:szCs w:val="22"/>
          <w:u w:color="3A3A3A"/>
          <w:lang w:val="fr-FR"/>
        </w:rPr>
        <w:t xml:space="preserve">eceveur </w:t>
      </w:r>
    </w:p>
    <w:p w14:paraId="4441C992" w14:textId="31823BF7" w:rsidR="000430F1" w:rsidRPr="0057205A" w:rsidRDefault="009276AC" w:rsidP="0057205A">
      <w:pPr>
        <w:pStyle w:val="NormalWeb"/>
        <w:shd w:val="clear" w:color="auto" w:fill="FFFFFF"/>
        <w:tabs>
          <w:tab w:val="left" w:pos="284"/>
          <w:tab w:val="left" w:pos="426"/>
        </w:tabs>
        <w:spacing w:before="0" w:after="0" w:line="276" w:lineRule="auto"/>
        <w:rPr>
          <w:rFonts w:ascii="Calibri" w:hAnsi="Calibri" w:cs="Calibri"/>
          <w:i/>
          <w:iCs/>
          <w:color w:val="000000" w:themeColor="text1"/>
          <w:sz w:val="22"/>
          <w:szCs w:val="22"/>
          <w:u w:color="3A3A3A"/>
          <w:lang w:val="fr-FR"/>
        </w:rPr>
      </w:pPr>
      <w:r w:rsidRPr="0057205A">
        <w:rPr>
          <w:rFonts w:ascii="Calibri" w:hAnsi="Calibri" w:cs="Calibri"/>
          <w:i/>
          <w:iCs/>
          <w:color w:val="000000" w:themeColor="text1"/>
          <w:sz w:val="22"/>
          <w:szCs w:val="22"/>
          <w:u w:color="3A3A3A"/>
          <w:lang w:val="fr-FR"/>
        </w:rPr>
        <w:t xml:space="preserve">- </w:t>
      </w:r>
      <w:r w:rsidR="00ED5F28" w:rsidRPr="0057205A">
        <w:rPr>
          <w:rFonts w:ascii="Calibri" w:hAnsi="Calibri" w:cs="Calibri"/>
          <w:i/>
          <w:iCs/>
          <w:color w:val="000000" w:themeColor="text1"/>
          <w:sz w:val="22"/>
          <w:szCs w:val="22"/>
          <w:u w:color="3A3A3A"/>
          <w:lang w:val="fr-FR"/>
        </w:rPr>
        <w:t xml:space="preserve">La </w:t>
      </w:r>
      <w:r w:rsidR="00213BFF" w:rsidRPr="0057205A">
        <w:rPr>
          <w:rFonts w:ascii="Calibri" w:hAnsi="Calibri" w:cs="Calibri"/>
          <w:i/>
          <w:iCs/>
          <w:color w:val="000000" w:themeColor="text1"/>
          <w:sz w:val="22"/>
          <w:szCs w:val="22"/>
          <w:u w:color="3A3A3A"/>
          <w:lang w:val="fr-FR"/>
        </w:rPr>
        <w:t>c</w:t>
      </w:r>
      <w:r w:rsidR="00ED5F28" w:rsidRPr="0057205A">
        <w:rPr>
          <w:rFonts w:ascii="Calibri" w:hAnsi="Calibri" w:cs="Calibri"/>
          <w:i/>
          <w:iCs/>
          <w:color w:val="000000" w:themeColor="text1"/>
          <w:sz w:val="22"/>
          <w:szCs w:val="22"/>
          <w:u w:color="3A3A3A"/>
          <w:lang w:val="fr-FR"/>
        </w:rPr>
        <w:t xml:space="preserve">réation d'une traçabilité </w:t>
      </w:r>
      <w:r w:rsidR="0009735E" w:rsidRPr="0057205A">
        <w:rPr>
          <w:rFonts w:ascii="Calibri" w:hAnsi="Calibri" w:cs="Calibri"/>
          <w:i/>
          <w:iCs/>
          <w:color w:val="000000" w:themeColor="text1"/>
          <w:sz w:val="22"/>
          <w:szCs w:val="22"/>
          <w:u w:color="3A3A3A"/>
          <w:lang w:val="fr-FR"/>
        </w:rPr>
        <w:t xml:space="preserve">depuis le prélèvement du </w:t>
      </w:r>
      <w:r w:rsidR="00213BFF" w:rsidRPr="0057205A">
        <w:rPr>
          <w:rFonts w:ascii="Calibri" w:hAnsi="Calibri" w:cs="Calibri"/>
          <w:i/>
          <w:iCs/>
          <w:color w:val="000000" w:themeColor="text1"/>
          <w:sz w:val="22"/>
          <w:szCs w:val="22"/>
          <w:u w:color="3A3A3A"/>
          <w:lang w:val="fr-FR"/>
        </w:rPr>
        <w:t>d</w:t>
      </w:r>
      <w:r w:rsidR="0009735E" w:rsidRPr="0057205A">
        <w:rPr>
          <w:rFonts w:ascii="Calibri" w:hAnsi="Calibri" w:cs="Calibri"/>
          <w:i/>
          <w:iCs/>
          <w:color w:val="000000" w:themeColor="text1"/>
          <w:sz w:val="22"/>
          <w:szCs w:val="22"/>
          <w:u w:color="3A3A3A"/>
          <w:lang w:val="fr-FR"/>
        </w:rPr>
        <w:t>on</w:t>
      </w:r>
      <w:r w:rsidR="00D55C93" w:rsidRPr="0057205A">
        <w:rPr>
          <w:rFonts w:ascii="Calibri" w:hAnsi="Calibri" w:cs="Calibri"/>
          <w:i/>
          <w:iCs/>
          <w:color w:val="000000" w:themeColor="text1"/>
          <w:sz w:val="22"/>
          <w:szCs w:val="22"/>
          <w:u w:color="3A3A3A"/>
          <w:lang w:val="fr-FR"/>
        </w:rPr>
        <w:t xml:space="preserve"> </w:t>
      </w:r>
      <w:r w:rsidR="009A5A13" w:rsidRPr="0057205A">
        <w:rPr>
          <w:rFonts w:ascii="Calibri" w:hAnsi="Calibri" w:cs="Calibri"/>
          <w:i/>
          <w:iCs/>
          <w:color w:val="000000" w:themeColor="text1"/>
          <w:sz w:val="22"/>
          <w:szCs w:val="22"/>
          <w:u w:color="3A3A3A"/>
          <w:lang w:val="fr-FR"/>
        </w:rPr>
        <w:t>jusqu’à l’administration</w:t>
      </w:r>
      <w:r w:rsidR="00ED5F28" w:rsidRPr="0057205A">
        <w:rPr>
          <w:rFonts w:ascii="Calibri" w:hAnsi="Calibri" w:cs="Calibri"/>
          <w:i/>
          <w:iCs/>
          <w:color w:val="000000" w:themeColor="text1"/>
          <w:sz w:val="22"/>
          <w:szCs w:val="22"/>
          <w:u w:color="3A3A3A"/>
          <w:lang w:val="fr-FR"/>
        </w:rPr>
        <w:t xml:space="preserve"> </w:t>
      </w:r>
      <w:r w:rsidR="00D55C93" w:rsidRPr="0057205A">
        <w:rPr>
          <w:rFonts w:ascii="Calibri" w:hAnsi="Calibri" w:cs="Calibri"/>
          <w:i/>
          <w:iCs/>
          <w:color w:val="000000" w:themeColor="text1"/>
          <w:sz w:val="22"/>
          <w:szCs w:val="22"/>
          <w:u w:color="3A3A3A"/>
          <w:lang w:val="fr-FR"/>
        </w:rPr>
        <w:t xml:space="preserve">des PSL </w:t>
      </w:r>
      <w:r w:rsidR="00ED5F28" w:rsidRPr="0057205A">
        <w:rPr>
          <w:rFonts w:ascii="Calibri" w:hAnsi="Calibri" w:cs="Calibri"/>
          <w:i/>
          <w:iCs/>
          <w:color w:val="000000" w:themeColor="text1"/>
          <w:sz w:val="22"/>
          <w:szCs w:val="22"/>
          <w:u w:color="3A3A3A"/>
          <w:lang w:val="fr-FR"/>
        </w:rPr>
        <w:t xml:space="preserve">au </w:t>
      </w:r>
      <w:r w:rsidR="00D55C93" w:rsidRPr="0057205A">
        <w:rPr>
          <w:rFonts w:ascii="Calibri" w:hAnsi="Calibri" w:cs="Calibri"/>
          <w:i/>
          <w:iCs/>
          <w:color w:val="000000" w:themeColor="text1"/>
          <w:sz w:val="22"/>
          <w:szCs w:val="22"/>
          <w:u w:color="3A3A3A"/>
          <w:lang w:val="fr-FR"/>
        </w:rPr>
        <w:t>R</w:t>
      </w:r>
      <w:r w:rsidR="00ED5F28" w:rsidRPr="0057205A">
        <w:rPr>
          <w:rFonts w:ascii="Calibri" w:hAnsi="Calibri" w:cs="Calibri"/>
          <w:i/>
          <w:iCs/>
          <w:color w:val="000000" w:themeColor="text1"/>
          <w:sz w:val="22"/>
          <w:szCs w:val="22"/>
          <w:u w:color="3A3A3A"/>
          <w:lang w:val="fr-FR"/>
        </w:rPr>
        <w:t>eceveur</w:t>
      </w:r>
    </w:p>
    <w:p w14:paraId="2ADEC7BF" w14:textId="77777777" w:rsidR="000430F1" w:rsidRPr="0057205A" w:rsidRDefault="000430F1" w:rsidP="0057205A">
      <w:pPr>
        <w:pStyle w:val="NormalWeb"/>
        <w:shd w:val="clear" w:color="auto" w:fill="FFFFFF"/>
        <w:spacing w:before="0" w:after="0" w:line="276" w:lineRule="auto"/>
        <w:jc w:val="both"/>
        <w:rPr>
          <w:rFonts w:ascii="Calibri" w:hAnsi="Calibri" w:cs="Calibri"/>
          <w:color w:val="000000" w:themeColor="text1"/>
          <w:sz w:val="22"/>
          <w:szCs w:val="22"/>
          <w:u w:val="single" w:color="3A3A3A"/>
          <w:lang w:val="fr-FR"/>
        </w:rPr>
      </w:pPr>
    </w:p>
    <w:p w14:paraId="3B22C00E" w14:textId="74C90411" w:rsidR="00756E51" w:rsidRDefault="00ED5F28" w:rsidP="0057205A">
      <w:pPr>
        <w:pStyle w:val="Heading1"/>
        <w:numPr>
          <w:ilvl w:val="0"/>
          <w:numId w:val="30"/>
        </w:numPr>
        <w:spacing w:line="276" w:lineRule="auto"/>
        <w:rPr>
          <w:rFonts w:ascii="Calibri" w:hAnsi="Calibri" w:cs="Calibri"/>
          <w:b/>
          <w:bCs/>
          <w:color w:val="C00000"/>
          <w:sz w:val="22"/>
          <w:szCs w:val="22"/>
          <w:u w:val="single"/>
        </w:rPr>
      </w:pPr>
      <w:bookmarkStart w:id="4" w:name="_Toc122019052"/>
      <w:r w:rsidRPr="0057205A">
        <w:rPr>
          <w:rFonts w:ascii="Calibri" w:hAnsi="Calibri" w:cs="Calibri"/>
          <w:b/>
          <w:bCs/>
          <w:color w:val="C00000"/>
          <w:sz w:val="22"/>
          <w:szCs w:val="22"/>
          <w:u w:val="single"/>
        </w:rPr>
        <w:t xml:space="preserve">Plan </w:t>
      </w:r>
      <w:proofErr w:type="spellStart"/>
      <w:r w:rsidR="00436257" w:rsidRPr="0057205A">
        <w:rPr>
          <w:rFonts w:ascii="Calibri" w:hAnsi="Calibri" w:cs="Calibri"/>
          <w:b/>
          <w:bCs/>
          <w:color w:val="C00000"/>
          <w:sz w:val="22"/>
          <w:szCs w:val="22"/>
          <w:u w:val="single"/>
        </w:rPr>
        <w:t>d’action</w:t>
      </w:r>
      <w:proofErr w:type="spellEnd"/>
      <w:r w:rsidR="00436257" w:rsidRPr="0057205A">
        <w:rPr>
          <w:rFonts w:ascii="Calibri" w:hAnsi="Calibri" w:cs="Calibri"/>
          <w:b/>
          <w:bCs/>
          <w:color w:val="C00000"/>
          <w:sz w:val="22"/>
          <w:szCs w:val="22"/>
          <w:u w:val="single"/>
        </w:rPr>
        <w:t>:</w:t>
      </w:r>
      <w:bookmarkEnd w:id="4"/>
    </w:p>
    <w:p w14:paraId="5EADE806" w14:textId="77777777" w:rsidR="0057205A" w:rsidRPr="0057205A" w:rsidRDefault="0057205A" w:rsidP="0057205A">
      <w:pPr>
        <w:rPr>
          <w:lang w:val="fr-FR"/>
        </w:rPr>
      </w:pPr>
    </w:p>
    <w:p w14:paraId="3F2EA849" w14:textId="033B5B0B" w:rsidR="000430F1" w:rsidRPr="0057205A" w:rsidRDefault="00ED5F28" w:rsidP="0057205A">
      <w:pPr>
        <w:pStyle w:val="Body"/>
        <w:spacing w:before="100" w:after="100"/>
        <w:jc w:val="both"/>
        <w:rPr>
          <w:rFonts w:eastAsia="Times New Roman"/>
          <w:color w:val="000000" w:themeColor="text1"/>
        </w:rPr>
      </w:pPr>
      <w:r w:rsidRPr="0057205A">
        <w:rPr>
          <w:color w:val="000000" w:themeColor="text1"/>
        </w:rPr>
        <w:t>Pour la réal</w:t>
      </w:r>
      <w:r w:rsidR="00D55C93" w:rsidRPr="0057205A">
        <w:rPr>
          <w:color w:val="000000" w:themeColor="text1"/>
        </w:rPr>
        <w:t>isation de</w:t>
      </w:r>
      <w:r w:rsidR="009276AC" w:rsidRPr="0057205A">
        <w:rPr>
          <w:color w:val="000000" w:themeColor="text1"/>
        </w:rPr>
        <w:t>s</w:t>
      </w:r>
      <w:r w:rsidR="00D55C93" w:rsidRPr="0057205A">
        <w:rPr>
          <w:color w:val="000000" w:themeColor="text1"/>
        </w:rPr>
        <w:t xml:space="preserve"> objectif</w:t>
      </w:r>
      <w:r w:rsidR="009276AC" w:rsidRPr="0057205A">
        <w:rPr>
          <w:color w:val="000000" w:themeColor="text1"/>
        </w:rPr>
        <w:t>s</w:t>
      </w:r>
      <w:r w:rsidR="00D55C93" w:rsidRPr="0057205A">
        <w:rPr>
          <w:color w:val="000000" w:themeColor="text1"/>
        </w:rPr>
        <w:t xml:space="preserve"> de l'HV, l</w:t>
      </w:r>
      <w:r w:rsidRPr="0057205A">
        <w:rPr>
          <w:color w:val="000000" w:themeColor="text1"/>
        </w:rPr>
        <w:t xml:space="preserve">e plan d'action </w:t>
      </w:r>
      <w:r w:rsidR="00D55C93" w:rsidRPr="0057205A">
        <w:rPr>
          <w:color w:val="000000" w:themeColor="text1"/>
        </w:rPr>
        <w:t>repose sur les</w:t>
      </w:r>
      <w:r w:rsidRPr="0057205A">
        <w:rPr>
          <w:color w:val="000000" w:themeColor="text1"/>
        </w:rPr>
        <w:t xml:space="preserve"> trois grands axes </w:t>
      </w:r>
      <w:r w:rsidR="009A5A13" w:rsidRPr="0057205A">
        <w:rPr>
          <w:color w:val="000000" w:themeColor="text1"/>
        </w:rPr>
        <w:t>suivants :</w:t>
      </w:r>
      <w:r w:rsidRPr="0057205A">
        <w:rPr>
          <w:color w:val="000000" w:themeColor="text1"/>
        </w:rPr>
        <w:t xml:space="preserve"> </w:t>
      </w:r>
    </w:p>
    <w:p w14:paraId="7BFAD221" w14:textId="77777777" w:rsidR="000430F1" w:rsidRPr="0057205A" w:rsidRDefault="009276AC" w:rsidP="0057205A">
      <w:pPr>
        <w:pStyle w:val="Body"/>
        <w:contextualSpacing/>
        <w:jc w:val="both"/>
        <w:rPr>
          <w:i/>
          <w:iCs/>
          <w:color w:val="000000" w:themeColor="text1"/>
        </w:rPr>
      </w:pPr>
      <w:r w:rsidRPr="0057205A">
        <w:rPr>
          <w:i/>
          <w:iCs/>
          <w:color w:val="000000" w:themeColor="text1"/>
        </w:rPr>
        <w:t>- L</w:t>
      </w:r>
      <w:r w:rsidR="00ED5F28" w:rsidRPr="0057205A">
        <w:rPr>
          <w:i/>
          <w:iCs/>
          <w:color w:val="000000" w:themeColor="text1"/>
        </w:rPr>
        <w:t xml:space="preserve">e recueil et la conservation d'informations sur </w:t>
      </w:r>
      <w:r w:rsidR="0009735E" w:rsidRPr="0057205A">
        <w:rPr>
          <w:i/>
          <w:iCs/>
          <w:color w:val="000000" w:themeColor="text1"/>
        </w:rPr>
        <w:t>toutes les étapes</w:t>
      </w:r>
      <w:r w:rsidR="00D55C93" w:rsidRPr="0057205A">
        <w:rPr>
          <w:i/>
          <w:iCs/>
          <w:color w:val="000000" w:themeColor="text1"/>
        </w:rPr>
        <w:t xml:space="preserve"> du</w:t>
      </w:r>
      <w:r w:rsidR="00ED5F28" w:rsidRPr="0057205A">
        <w:rPr>
          <w:i/>
          <w:iCs/>
          <w:color w:val="000000" w:themeColor="text1"/>
        </w:rPr>
        <w:t xml:space="preserve"> circuit transfusionnel</w:t>
      </w:r>
    </w:p>
    <w:p w14:paraId="605C457B" w14:textId="77777777" w:rsidR="0009735E" w:rsidRPr="0057205A" w:rsidRDefault="0009735E" w:rsidP="0057205A">
      <w:pPr>
        <w:pStyle w:val="Body"/>
        <w:contextualSpacing/>
        <w:jc w:val="both"/>
        <w:rPr>
          <w:rFonts w:eastAsia="Times New Roman"/>
          <w:i/>
          <w:iCs/>
          <w:strike/>
          <w:color w:val="000000" w:themeColor="text1"/>
        </w:rPr>
      </w:pPr>
      <w:r w:rsidRPr="0057205A">
        <w:rPr>
          <w:i/>
          <w:iCs/>
          <w:color w:val="000000" w:themeColor="text1"/>
        </w:rPr>
        <w:t>-</w:t>
      </w:r>
      <w:r w:rsidRPr="0057205A">
        <w:rPr>
          <w:rFonts w:eastAsia="Times New Roman"/>
          <w:i/>
          <w:color w:val="000000" w:themeColor="text1"/>
          <w:lang w:val="fr-CA" w:eastAsia="fr-CA"/>
        </w:rPr>
        <w:t xml:space="preserve"> Le recueil d'informations sur tout incid</w:t>
      </w:r>
      <w:r w:rsidR="007022EE" w:rsidRPr="0057205A">
        <w:rPr>
          <w:rFonts w:eastAsia="Times New Roman"/>
          <w:i/>
          <w:color w:val="000000" w:themeColor="text1"/>
          <w:lang w:val="fr-CA" w:eastAsia="fr-CA"/>
        </w:rPr>
        <w:t xml:space="preserve">ent survenu chez le </w:t>
      </w:r>
      <w:r w:rsidR="00783DB4" w:rsidRPr="0057205A">
        <w:rPr>
          <w:rFonts w:eastAsia="Times New Roman"/>
          <w:i/>
          <w:color w:val="000000" w:themeColor="text1"/>
          <w:lang w:val="fr-CA" w:eastAsia="fr-CA"/>
        </w:rPr>
        <w:t>R</w:t>
      </w:r>
      <w:r w:rsidR="007022EE" w:rsidRPr="0057205A">
        <w:rPr>
          <w:rFonts w:eastAsia="Times New Roman"/>
          <w:i/>
          <w:color w:val="000000" w:themeColor="text1"/>
          <w:lang w:val="fr-CA" w:eastAsia="fr-CA"/>
        </w:rPr>
        <w:t>eceveur et</w:t>
      </w:r>
      <w:r w:rsidR="00783DB4" w:rsidRPr="0057205A">
        <w:rPr>
          <w:rFonts w:eastAsia="Times New Roman"/>
          <w:i/>
          <w:color w:val="000000" w:themeColor="text1"/>
          <w:lang w:val="fr-CA" w:eastAsia="fr-CA"/>
        </w:rPr>
        <w:t xml:space="preserve"> chez le D</w:t>
      </w:r>
      <w:r w:rsidRPr="0057205A">
        <w:rPr>
          <w:rFonts w:eastAsia="Times New Roman"/>
          <w:i/>
          <w:color w:val="000000" w:themeColor="text1"/>
          <w:lang w:val="fr-CA" w:eastAsia="fr-CA"/>
        </w:rPr>
        <w:t xml:space="preserve">onneur </w:t>
      </w:r>
    </w:p>
    <w:p w14:paraId="4EE26583" w14:textId="77777777" w:rsidR="000430F1" w:rsidRPr="0057205A" w:rsidRDefault="00D64D48" w:rsidP="0057205A">
      <w:pPr>
        <w:pStyle w:val="Body"/>
        <w:spacing w:before="100" w:after="100"/>
        <w:contextualSpacing/>
        <w:jc w:val="both"/>
        <w:rPr>
          <w:rFonts w:eastAsia="Times New Roman"/>
          <w:i/>
          <w:iCs/>
          <w:color w:val="000000" w:themeColor="text1"/>
        </w:rPr>
      </w:pPr>
      <w:r w:rsidRPr="0057205A">
        <w:rPr>
          <w:i/>
          <w:iCs/>
          <w:color w:val="000000" w:themeColor="text1"/>
        </w:rPr>
        <w:t>-</w:t>
      </w:r>
      <w:r w:rsidR="00F94B1A" w:rsidRPr="0057205A">
        <w:rPr>
          <w:i/>
          <w:iCs/>
          <w:color w:val="000000" w:themeColor="text1"/>
        </w:rPr>
        <w:t>L</w:t>
      </w:r>
      <w:r w:rsidR="007022EE" w:rsidRPr="0057205A">
        <w:rPr>
          <w:i/>
          <w:iCs/>
          <w:color w:val="000000" w:themeColor="text1"/>
        </w:rPr>
        <w:t>a</w:t>
      </w:r>
      <w:r w:rsidR="00ED5F28" w:rsidRPr="0057205A">
        <w:rPr>
          <w:i/>
          <w:iCs/>
          <w:color w:val="000000" w:themeColor="text1"/>
        </w:rPr>
        <w:t xml:space="preserve"> réalisation d'étude sur les conditions d'emploi des </w:t>
      </w:r>
      <w:r w:rsidR="007022EE" w:rsidRPr="0057205A">
        <w:rPr>
          <w:i/>
          <w:iCs/>
          <w:color w:val="000000" w:themeColor="text1"/>
        </w:rPr>
        <w:t>PSL</w:t>
      </w:r>
      <w:r w:rsidR="00337FAB" w:rsidRPr="0057205A">
        <w:rPr>
          <w:i/>
          <w:iCs/>
          <w:color w:val="000000" w:themeColor="text1"/>
        </w:rPr>
        <w:t> </w:t>
      </w:r>
      <w:r w:rsidR="00F94B1A" w:rsidRPr="0057205A">
        <w:rPr>
          <w:i/>
          <w:iCs/>
          <w:color w:val="000000" w:themeColor="text1"/>
        </w:rPr>
        <w:t>et la conduite d'enquêtes épidémiologiques</w:t>
      </w:r>
      <w:r w:rsidR="009614C0" w:rsidRPr="0057205A">
        <w:rPr>
          <w:i/>
          <w:iCs/>
          <w:color w:val="000000" w:themeColor="text1"/>
        </w:rPr>
        <w:t xml:space="preserve"> </w:t>
      </w:r>
    </w:p>
    <w:p w14:paraId="5E5D26A8" w14:textId="77777777" w:rsidR="000430F1" w:rsidRPr="0057205A" w:rsidRDefault="00715787" w:rsidP="0057205A">
      <w:pPr>
        <w:pStyle w:val="NoSpacing"/>
        <w:spacing w:line="276" w:lineRule="auto"/>
        <w:rPr>
          <w:rFonts w:ascii="Calibri" w:eastAsia="Times New Roman" w:hAnsi="Calibri" w:cs="Calibri"/>
          <w:b/>
          <w:bCs/>
          <w:i/>
          <w:iCs/>
          <w:sz w:val="22"/>
          <w:szCs w:val="22"/>
        </w:rPr>
      </w:pPr>
      <w:bookmarkStart w:id="5" w:name="_Toc"/>
      <w:bookmarkStart w:id="6" w:name="_Toc122018432"/>
      <w:r w:rsidRPr="0057205A">
        <w:rPr>
          <w:rFonts w:ascii="Calibri" w:hAnsi="Calibri" w:cs="Calibri"/>
          <w:b/>
          <w:bCs/>
          <w:i/>
          <w:iCs/>
          <w:sz w:val="22"/>
          <w:szCs w:val="22"/>
        </w:rPr>
        <w:t>I</w:t>
      </w:r>
      <w:r w:rsidR="008A24BE" w:rsidRPr="0057205A">
        <w:rPr>
          <w:rFonts w:ascii="Calibri" w:hAnsi="Calibri" w:cs="Calibri"/>
          <w:b/>
          <w:bCs/>
          <w:i/>
          <w:iCs/>
          <w:sz w:val="22"/>
          <w:szCs w:val="22"/>
        </w:rPr>
        <w:t>V.1- R</w:t>
      </w:r>
      <w:r w:rsidR="00ED5F28" w:rsidRPr="0057205A">
        <w:rPr>
          <w:rFonts w:ascii="Calibri" w:hAnsi="Calibri" w:cs="Calibri"/>
          <w:b/>
          <w:bCs/>
          <w:i/>
          <w:iCs/>
          <w:sz w:val="22"/>
          <w:szCs w:val="22"/>
        </w:rPr>
        <w:t>ecueil et la conservation d'informations sur le circuit transfusionnel</w:t>
      </w:r>
      <w:bookmarkEnd w:id="5"/>
      <w:bookmarkEnd w:id="6"/>
    </w:p>
    <w:p w14:paraId="36A0F397" w14:textId="77777777" w:rsidR="007022EE" w:rsidRPr="0057205A" w:rsidRDefault="00ED5F28" w:rsidP="0057205A">
      <w:pPr>
        <w:pStyle w:val="Body"/>
        <w:jc w:val="both"/>
        <w:rPr>
          <w:color w:val="000000" w:themeColor="text1"/>
        </w:rPr>
      </w:pPr>
      <w:r w:rsidRPr="0057205A">
        <w:rPr>
          <w:color w:val="000000" w:themeColor="text1"/>
        </w:rPr>
        <w:t>Le recueil et</w:t>
      </w:r>
      <w:r w:rsidR="00DF32D1" w:rsidRPr="0057205A">
        <w:rPr>
          <w:color w:val="000000" w:themeColor="text1"/>
        </w:rPr>
        <w:t xml:space="preserve"> la conservation d'informations </w:t>
      </w:r>
      <w:r w:rsidRPr="0057205A">
        <w:rPr>
          <w:color w:val="000000" w:themeColor="text1"/>
        </w:rPr>
        <w:t>commence</w:t>
      </w:r>
      <w:r w:rsidR="002A1E49" w:rsidRPr="0057205A">
        <w:rPr>
          <w:color w:val="000000" w:themeColor="text1"/>
        </w:rPr>
        <w:t>nt</w:t>
      </w:r>
      <w:r w:rsidRPr="0057205A">
        <w:rPr>
          <w:color w:val="000000" w:themeColor="text1"/>
        </w:rPr>
        <w:t xml:space="preserve"> depuis le prélèvement du don jusqu'à l'administration du produit au malade. </w:t>
      </w:r>
    </w:p>
    <w:p w14:paraId="57ADCBA9" w14:textId="5F51D45A" w:rsidR="007022EE" w:rsidRPr="0057205A" w:rsidRDefault="00715787" w:rsidP="0057205A">
      <w:pPr>
        <w:pStyle w:val="NoSpacing"/>
        <w:spacing w:line="276" w:lineRule="auto"/>
        <w:rPr>
          <w:rFonts w:ascii="Calibri" w:hAnsi="Calibri" w:cs="Calibri"/>
          <w:b/>
          <w:bCs/>
          <w:i/>
          <w:iCs/>
          <w:sz w:val="22"/>
          <w:szCs w:val="22"/>
        </w:rPr>
      </w:pPr>
      <w:r w:rsidRPr="0057205A">
        <w:rPr>
          <w:rFonts w:ascii="Calibri" w:hAnsi="Calibri" w:cs="Calibri"/>
          <w:b/>
          <w:bCs/>
          <w:i/>
          <w:iCs/>
          <w:sz w:val="22"/>
          <w:szCs w:val="22"/>
        </w:rPr>
        <w:t>I</w:t>
      </w:r>
      <w:r w:rsidR="007022EE" w:rsidRPr="0057205A">
        <w:rPr>
          <w:rFonts w:ascii="Calibri" w:hAnsi="Calibri" w:cs="Calibri"/>
          <w:b/>
          <w:bCs/>
          <w:i/>
          <w:iCs/>
          <w:sz w:val="22"/>
          <w:szCs w:val="22"/>
        </w:rPr>
        <w:t xml:space="preserve">V.2- </w:t>
      </w:r>
      <w:r w:rsidR="004C1883" w:rsidRPr="0057205A">
        <w:rPr>
          <w:rFonts w:ascii="Calibri" w:hAnsi="Calibri" w:cs="Calibri"/>
          <w:b/>
          <w:bCs/>
          <w:i/>
          <w:iCs/>
          <w:sz w:val="22"/>
          <w:szCs w:val="22"/>
          <w:lang w:val="fr-CA" w:eastAsia="fr-CA"/>
        </w:rPr>
        <w:t>Recueil</w:t>
      </w:r>
      <w:r w:rsidR="007022EE" w:rsidRPr="0057205A">
        <w:rPr>
          <w:rFonts w:ascii="Calibri" w:hAnsi="Calibri" w:cs="Calibri"/>
          <w:b/>
          <w:bCs/>
          <w:i/>
          <w:iCs/>
          <w:sz w:val="22"/>
          <w:szCs w:val="22"/>
          <w:lang w:val="fr-CA" w:eastAsia="fr-CA"/>
        </w:rPr>
        <w:t xml:space="preserve"> d'informations sur tout incident survenu chez le receveur et chez le donneur</w:t>
      </w:r>
    </w:p>
    <w:p w14:paraId="416AEA23" w14:textId="77777777" w:rsidR="000430F1" w:rsidRPr="0057205A" w:rsidRDefault="00ED5F28" w:rsidP="0057205A">
      <w:pPr>
        <w:pStyle w:val="Body"/>
        <w:jc w:val="both"/>
        <w:rPr>
          <w:rFonts w:eastAsia="Times New Roman"/>
          <w:color w:val="000000" w:themeColor="text1"/>
        </w:rPr>
      </w:pPr>
      <w:r w:rsidRPr="0057205A">
        <w:rPr>
          <w:color w:val="000000" w:themeColor="text1"/>
        </w:rPr>
        <w:t>Le recueil s'appuie sur une obligation de signalement de tout incident transfusionnel par les intervenants</w:t>
      </w:r>
      <w:r w:rsidR="002A1E49" w:rsidRPr="0057205A">
        <w:rPr>
          <w:color w:val="000000" w:themeColor="text1"/>
        </w:rPr>
        <w:t xml:space="preserve"> dans le circuit transfusionnel</w:t>
      </w:r>
      <w:r w:rsidR="007022EE" w:rsidRPr="0057205A">
        <w:rPr>
          <w:color w:val="000000" w:themeColor="text1"/>
        </w:rPr>
        <w:t>.</w:t>
      </w:r>
    </w:p>
    <w:p w14:paraId="0040BF0D" w14:textId="5DCAB59F" w:rsidR="00D64D48" w:rsidRPr="0057205A" w:rsidRDefault="00715787" w:rsidP="0057205A">
      <w:pPr>
        <w:pStyle w:val="NoSpacing"/>
        <w:spacing w:line="276" w:lineRule="auto"/>
        <w:rPr>
          <w:rFonts w:ascii="Calibri" w:hAnsi="Calibri" w:cs="Calibri"/>
          <w:b/>
          <w:bCs/>
          <w:i/>
          <w:iCs/>
          <w:sz w:val="22"/>
          <w:szCs w:val="22"/>
        </w:rPr>
      </w:pPr>
      <w:bookmarkStart w:id="7" w:name="_Toc1"/>
      <w:bookmarkStart w:id="8" w:name="_Toc122018433"/>
      <w:r w:rsidRPr="0057205A">
        <w:rPr>
          <w:rFonts w:ascii="Calibri" w:hAnsi="Calibri" w:cs="Calibri"/>
          <w:b/>
          <w:bCs/>
          <w:i/>
          <w:iCs/>
          <w:sz w:val="22"/>
          <w:szCs w:val="22"/>
        </w:rPr>
        <w:t>I</w:t>
      </w:r>
      <w:r w:rsidR="00DF32D1" w:rsidRPr="0057205A">
        <w:rPr>
          <w:rFonts w:ascii="Calibri" w:hAnsi="Calibri" w:cs="Calibri"/>
          <w:b/>
          <w:bCs/>
          <w:i/>
          <w:iCs/>
          <w:sz w:val="22"/>
          <w:szCs w:val="22"/>
        </w:rPr>
        <w:t xml:space="preserve">V.3- </w:t>
      </w:r>
      <w:r w:rsidR="008A24BE" w:rsidRPr="0057205A">
        <w:rPr>
          <w:rFonts w:ascii="Calibri" w:hAnsi="Calibri" w:cs="Calibri"/>
          <w:b/>
          <w:bCs/>
          <w:i/>
          <w:iCs/>
          <w:sz w:val="22"/>
          <w:szCs w:val="22"/>
        </w:rPr>
        <w:t>R</w:t>
      </w:r>
      <w:r w:rsidR="00F94B1A" w:rsidRPr="0057205A">
        <w:rPr>
          <w:rFonts w:ascii="Calibri" w:hAnsi="Calibri" w:cs="Calibri"/>
          <w:b/>
          <w:bCs/>
          <w:i/>
          <w:iCs/>
          <w:sz w:val="22"/>
          <w:szCs w:val="22"/>
        </w:rPr>
        <w:t>éalisation d'étude sur les conditions d'emploi des PSL et l</w:t>
      </w:r>
      <w:r w:rsidR="00ED5F28" w:rsidRPr="0057205A">
        <w:rPr>
          <w:rFonts w:ascii="Calibri" w:hAnsi="Calibri" w:cs="Calibri"/>
          <w:b/>
          <w:bCs/>
          <w:i/>
          <w:iCs/>
          <w:sz w:val="22"/>
          <w:szCs w:val="22"/>
        </w:rPr>
        <w:t xml:space="preserve">a </w:t>
      </w:r>
      <w:proofErr w:type="spellStart"/>
      <w:r w:rsidR="00ED5F28" w:rsidRPr="0057205A">
        <w:rPr>
          <w:rFonts w:ascii="Calibri" w:hAnsi="Calibri" w:cs="Calibri"/>
          <w:b/>
          <w:bCs/>
          <w:i/>
          <w:iCs/>
          <w:sz w:val="22"/>
          <w:szCs w:val="22"/>
        </w:rPr>
        <w:t>conduite</w:t>
      </w:r>
      <w:proofErr w:type="spellEnd"/>
      <w:r w:rsidR="00ED5F28" w:rsidRPr="0057205A">
        <w:rPr>
          <w:rFonts w:ascii="Calibri" w:hAnsi="Calibri" w:cs="Calibri"/>
          <w:b/>
          <w:bCs/>
          <w:i/>
          <w:iCs/>
          <w:sz w:val="22"/>
          <w:szCs w:val="22"/>
        </w:rPr>
        <w:t xml:space="preserve"> </w:t>
      </w:r>
      <w:proofErr w:type="spellStart"/>
      <w:r w:rsidR="00ED5F28" w:rsidRPr="0057205A">
        <w:rPr>
          <w:rFonts w:ascii="Calibri" w:hAnsi="Calibri" w:cs="Calibri"/>
          <w:b/>
          <w:bCs/>
          <w:i/>
          <w:iCs/>
          <w:sz w:val="22"/>
          <w:szCs w:val="22"/>
        </w:rPr>
        <w:t>d'enquête</w:t>
      </w:r>
      <w:r w:rsidR="002A1E49" w:rsidRPr="0057205A">
        <w:rPr>
          <w:rFonts w:ascii="Calibri" w:hAnsi="Calibri" w:cs="Calibri"/>
          <w:b/>
          <w:bCs/>
          <w:i/>
          <w:iCs/>
          <w:sz w:val="22"/>
          <w:szCs w:val="22"/>
        </w:rPr>
        <w:t>s</w:t>
      </w:r>
      <w:proofErr w:type="spellEnd"/>
      <w:r w:rsidR="00ED5F28" w:rsidRPr="0057205A">
        <w:rPr>
          <w:rFonts w:ascii="Calibri" w:hAnsi="Calibri" w:cs="Calibri"/>
          <w:b/>
          <w:bCs/>
          <w:i/>
          <w:iCs/>
          <w:sz w:val="22"/>
          <w:szCs w:val="22"/>
        </w:rPr>
        <w:t xml:space="preserve"> </w:t>
      </w:r>
      <w:proofErr w:type="spellStart"/>
      <w:r w:rsidR="00ED5F28" w:rsidRPr="0057205A">
        <w:rPr>
          <w:rFonts w:ascii="Calibri" w:hAnsi="Calibri" w:cs="Calibri"/>
          <w:b/>
          <w:bCs/>
          <w:i/>
          <w:iCs/>
          <w:sz w:val="22"/>
          <w:szCs w:val="22"/>
        </w:rPr>
        <w:t>épidémiologique</w:t>
      </w:r>
      <w:bookmarkEnd w:id="7"/>
      <w:r w:rsidR="002A1E49" w:rsidRPr="0057205A">
        <w:rPr>
          <w:rFonts w:ascii="Calibri" w:hAnsi="Calibri" w:cs="Calibri"/>
          <w:b/>
          <w:bCs/>
          <w:i/>
          <w:iCs/>
          <w:sz w:val="22"/>
          <w:szCs w:val="22"/>
        </w:rPr>
        <w:t>s</w:t>
      </w:r>
      <w:bookmarkEnd w:id="8"/>
      <w:proofErr w:type="spellEnd"/>
    </w:p>
    <w:p w14:paraId="4EEDF318" w14:textId="588E2360" w:rsidR="00F94B1A" w:rsidRPr="0057205A" w:rsidRDefault="00622BCF" w:rsidP="0057205A">
      <w:pPr>
        <w:pStyle w:val="Body"/>
        <w:jc w:val="both"/>
        <w:rPr>
          <w:color w:val="000000" w:themeColor="text1"/>
        </w:rPr>
      </w:pPr>
      <w:r w:rsidRPr="0057205A">
        <w:rPr>
          <w:color w:val="000000" w:themeColor="text1"/>
        </w:rPr>
        <w:lastRenderedPageBreak/>
        <w:t xml:space="preserve">Elles </w:t>
      </w:r>
      <w:r w:rsidR="009A5A13" w:rsidRPr="0057205A">
        <w:rPr>
          <w:color w:val="000000" w:themeColor="text1"/>
        </w:rPr>
        <w:t>permettent d’optimiser</w:t>
      </w:r>
      <w:r w:rsidR="00856F71" w:rsidRPr="0057205A">
        <w:rPr>
          <w:color w:val="000000" w:themeColor="text1"/>
        </w:rPr>
        <w:t xml:space="preserve"> la détection de</w:t>
      </w:r>
      <w:r w:rsidRPr="0057205A">
        <w:rPr>
          <w:color w:val="000000" w:themeColor="text1"/>
        </w:rPr>
        <w:t xml:space="preserve">s agents transmissibles </w:t>
      </w:r>
      <w:r w:rsidR="00D64D48" w:rsidRPr="0057205A">
        <w:rPr>
          <w:color w:val="000000" w:themeColor="text1"/>
        </w:rPr>
        <w:t xml:space="preserve">conventionnels </w:t>
      </w:r>
      <w:r w:rsidR="00856F71" w:rsidRPr="0057205A">
        <w:rPr>
          <w:color w:val="000000" w:themeColor="text1"/>
        </w:rPr>
        <w:t>et de</w:t>
      </w:r>
      <w:r w:rsidRPr="0057205A">
        <w:rPr>
          <w:color w:val="000000" w:themeColor="text1"/>
        </w:rPr>
        <w:t xml:space="preserve"> contrôle</w:t>
      </w:r>
      <w:r w:rsidR="00856F71" w:rsidRPr="0057205A">
        <w:rPr>
          <w:color w:val="000000" w:themeColor="text1"/>
        </w:rPr>
        <w:t>r</w:t>
      </w:r>
      <w:r w:rsidR="00DF32D1" w:rsidRPr="0057205A">
        <w:rPr>
          <w:color w:val="000000" w:themeColor="text1"/>
        </w:rPr>
        <w:t xml:space="preserve"> </w:t>
      </w:r>
      <w:r w:rsidR="00856F71" w:rsidRPr="0057205A">
        <w:rPr>
          <w:color w:val="000000" w:themeColor="text1"/>
        </w:rPr>
        <w:t>l</w:t>
      </w:r>
      <w:r w:rsidR="00F94B1A" w:rsidRPr="0057205A">
        <w:rPr>
          <w:color w:val="000000" w:themeColor="text1"/>
        </w:rPr>
        <w:t>es agents émergents</w:t>
      </w:r>
      <w:r w:rsidRPr="0057205A">
        <w:rPr>
          <w:color w:val="000000" w:themeColor="text1"/>
        </w:rPr>
        <w:t>.</w:t>
      </w:r>
    </w:p>
    <w:p w14:paraId="1993C15B" w14:textId="77777777" w:rsidR="00DF32D1" w:rsidRPr="0057205A" w:rsidRDefault="00897D4C" w:rsidP="0057205A">
      <w:pPr>
        <w:pStyle w:val="Body"/>
        <w:jc w:val="both"/>
        <w:rPr>
          <w:rFonts w:eastAsia="Times New Roman"/>
          <w:i/>
          <w:iCs/>
          <w:color w:val="000000" w:themeColor="text1"/>
        </w:rPr>
      </w:pPr>
      <w:r w:rsidRPr="0057205A">
        <w:rPr>
          <w:i/>
          <w:iCs/>
          <w:color w:val="000000" w:themeColor="text1"/>
        </w:rPr>
        <w:t xml:space="preserve">Ainsi, L'HV </w:t>
      </w:r>
      <w:r w:rsidR="00F94B1A" w:rsidRPr="0057205A">
        <w:rPr>
          <w:i/>
          <w:iCs/>
          <w:color w:val="000000" w:themeColor="text1"/>
        </w:rPr>
        <w:t xml:space="preserve">s’intègre dans </w:t>
      </w:r>
      <w:r w:rsidR="00622BCF" w:rsidRPr="0057205A">
        <w:rPr>
          <w:i/>
          <w:iCs/>
          <w:color w:val="000000" w:themeColor="text1"/>
        </w:rPr>
        <w:t xml:space="preserve">le cadre de </w:t>
      </w:r>
      <w:r w:rsidR="00F94B1A" w:rsidRPr="0057205A">
        <w:rPr>
          <w:i/>
          <w:iCs/>
          <w:color w:val="000000" w:themeColor="text1"/>
        </w:rPr>
        <w:t>la politique de</w:t>
      </w:r>
      <w:r w:rsidRPr="0057205A">
        <w:rPr>
          <w:i/>
          <w:iCs/>
          <w:color w:val="000000" w:themeColor="text1"/>
        </w:rPr>
        <w:t xml:space="preserve"> Pharmacovigilance relative aux produits</w:t>
      </w:r>
      <w:r w:rsidR="00F94B1A" w:rsidRPr="0057205A">
        <w:rPr>
          <w:i/>
          <w:iCs/>
          <w:color w:val="000000" w:themeColor="text1"/>
        </w:rPr>
        <w:t xml:space="preserve"> sanguins</w:t>
      </w:r>
      <w:r w:rsidRPr="0057205A">
        <w:rPr>
          <w:i/>
          <w:iCs/>
          <w:color w:val="000000" w:themeColor="text1"/>
        </w:rPr>
        <w:t xml:space="preserve"> d’origine humaine.</w:t>
      </w:r>
    </w:p>
    <w:p w14:paraId="546D758E" w14:textId="77777777" w:rsidR="000430F1" w:rsidRPr="0057205A" w:rsidRDefault="000430F1" w:rsidP="0057205A">
      <w:pPr>
        <w:pStyle w:val="Body"/>
        <w:jc w:val="both"/>
        <w:rPr>
          <w:rFonts w:eastAsia="Times New Roman"/>
          <w:color w:val="000000" w:themeColor="text1"/>
        </w:rPr>
      </w:pPr>
    </w:p>
    <w:p w14:paraId="6FB4937C" w14:textId="7FE698D7" w:rsidR="00DF6892" w:rsidRPr="0057205A" w:rsidRDefault="00213BFF" w:rsidP="0057205A">
      <w:pPr>
        <w:pStyle w:val="Heading1"/>
        <w:numPr>
          <w:ilvl w:val="0"/>
          <w:numId w:val="30"/>
        </w:numPr>
        <w:spacing w:line="276" w:lineRule="auto"/>
        <w:rPr>
          <w:rFonts w:ascii="Calibri" w:hAnsi="Calibri" w:cs="Calibri"/>
          <w:b/>
          <w:bCs/>
          <w:color w:val="C00000"/>
          <w:sz w:val="22"/>
          <w:szCs w:val="22"/>
          <w:u w:val="single"/>
        </w:rPr>
      </w:pPr>
      <w:bookmarkStart w:id="9" w:name="_Toc122019053"/>
      <w:r w:rsidRPr="0057205A">
        <w:rPr>
          <w:rFonts w:ascii="Calibri" w:hAnsi="Calibri" w:cs="Calibri"/>
          <w:b/>
          <w:bCs/>
          <w:color w:val="C00000"/>
          <w:sz w:val="22"/>
          <w:szCs w:val="22"/>
          <w:u w:val="single"/>
        </w:rPr>
        <w:t xml:space="preserve">Les </w:t>
      </w:r>
      <w:proofErr w:type="spellStart"/>
      <w:r w:rsidRPr="0057205A">
        <w:rPr>
          <w:rFonts w:ascii="Calibri" w:hAnsi="Calibri" w:cs="Calibri"/>
          <w:b/>
          <w:bCs/>
          <w:color w:val="C00000"/>
          <w:sz w:val="22"/>
          <w:szCs w:val="22"/>
          <w:u w:val="single"/>
        </w:rPr>
        <w:t>a</w:t>
      </w:r>
      <w:r w:rsidR="00CB0CF8" w:rsidRPr="0057205A">
        <w:rPr>
          <w:rFonts w:ascii="Calibri" w:hAnsi="Calibri" w:cs="Calibri"/>
          <w:b/>
          <w:bCs/>
          <w:color w:val="C00000"/>
          <w:sz w:val="22"/>
          <w:szCs w:val="22"/>
          <w:u w:val="single"/>
        </w:rPr>
        <w:t>cteurs</w:t>
      </w:r>
      <w:proofErr w:type="spellEnd"/>
      <w:r w:rsidR="00CB0CF8" w:rsidRPr="0057205A">
        <w:rPr>
          <w:rFonts w:ascii="Calibri" w:hAnsi="Calibri" w:cs="Calibri"/>
          <w:b/>
          <w:bCs/>
          <w:color w:val="C00000"/>
          <w:sz w:val="22"/>
          <w:szCs w:val="22"/>
          <w:u w:val="single"/>
        </w:rPr>
        <w:t xml:space="preserve"> de </w:t>
      </w:r>
      <w:proofErr w:type="spellStart"/>
      <w:r w:rsidR="00CB0CF8" w:rsidRPr="0057205A">
        <w:rPr>
          <w:rFonts w:ascii="Calibri" w:hAnsi="Calibri" w:cs="Calibri"/>
          <w:b/>
          <w:bCs/>
          <w:color w:val="C00000"/>
          <w:sz w:val="22"/>
          <w:szCs w:val="22"/>
          <w:u w:val="single"/>
        </w:rPr>
        <w:t>l’H</w:t>
      </w:r>
      <w:proofErr w:type="spellEnd"/>
      <w:r w:rsidR="00CB0CF8" w:rsidRPr="0057205A">
        <w:rPr>
          <w:rFonts w:ascii="Calibri" w:hAnsi="Calibri" w:cs="Calibri"/>
          <w:b/>
          <w:bCs/>
          <w:color w:val="C00000"/>
          <w:sz w:val="22"/>
          <w:szCs w:val="22"/>
          <w:u w:val="single"/>
          <w:lang w:val="fr-FR"/>
        </w:rPr>
        <w:t>é</w:t>
      </w:r>
      <w:proofErr w:type="spellStart"/>
      <w:r w:rsidR="00CB0CF8" w:rsidRPr="0057205A">
        <w:rPr>
          <w:rFonts w:ascii="Calibri" w:hAnsi="Calibri" w:cs="Calibri"/>
          <w:b/>
          <w:bCs/>
          <w:color w:val="C00000"/>
          <w:sz w:val="22"/>
          <w:szCs w:val="22"/>
          <w:u w:val="single"/>
        </w:rPr>
        <w:t>movigilance</w:t>
      </w:r>
      <w:bookmarkEnd w:id="9"/>
      <w:proofErr w:type="spellEnd"/>
    </w:p>
    <w:p w14:paraId="4C826465" w14:textId="77777777" w:rsidR="0057205A" w:rsidRPr="0057205A" w:rsidRDefault="0057205A" w:rsidP="0057205A">
      <w:pPr>
        <w:spacing w:line="276" w:lineRule="auto"/>
        <w:rPr>
          <w:rFonts w:ascii="Calibri" w:hAnsi="Calibri" w:cs="Calibri"/>
          <w:lang w:val="fr-FR"/>
        </w:rPr>
      </w:pPr>
    </w:p>
    <w:p w14:paraId="7D8AFABF" w14:textId="77777777" w:rsidR="000430F1" w:rsidRPr="0057205A" w:rsidRDefault="00ED5F28" w:rsidP="0057205A">
      <w:pPr>
        <w:pStyle w:val="NoSpacing"/>
        <w:spacing w:line="276" w:lineRule="auto"/>
        <w:rPr>
          <w:rFonts w:ascii="Calibri" w:eastAsia="Times New Roman" w:hAnsi="Calibri" w:cs="Calibri"/>
          <w:sz w:val="22"/>
          <w:szCs w:val="22"/>
          <w:lang w:val="fr-FR"/>
        </w:rPr>
      </w:pPr>
      <w:r w:rsidRPr="0057205A">
        <w:rPr>
          <w:rFonts w:ascii="Calibri" w:hAnsi="Calibri" w:cs="Calibri"/>
          <w:b/>
          <w:bCs/>
          <w:i/>
          <w:iCs/>
          <w:sz w:val="22"/>
          <w:szCs w:val="22"/>
          <w:lang w:val="fr-FR"/>
        </w:rPr>
        <w:t>V.1. Au niveau national</w:t>
      </w:r>
      <w:r w:rsidR="00715787" w:rsidRPr="0057205A">
        <w:rPr>
          <w:rFonts w:ascii="Calibri" w:hAnsi="Calibri" w:cs="Calibri"/>
          <w:sz w:val="22"/>
          <w:szCs w:val="22"/>
          <w:lang w:val="fr-FR"/>
        </w:rPr>
        <w:t> </w:t>
      </w:r>
      <w:r w:rsidR="00213BFF" w:rsidRPr="0057205A">
        <w:rPr>
          <w:rFonts w:ascii="Calibri" w:hAnsi="Calibri" w:cs="Calibri"/>
          <w:sz w:val="22"/>
          <w:szCs w:val="22"/>
          <w:lang w:val="fr-FR"/>
        </w:rPr>
        <w:t xml:space="preserve">(Cf. Annexe I) </w:t>
      </w:r>
    </w:p>
    <w:p w14:paraId="57C27795" w14:textId="77777777" w:rsidR="000430F1" w:rsidRPr="0057205A" w:rsidRDefault="00ED5F28" w:rsidP="0057205A">
      <w:pPr>
        <w:pStyle w:val="Body"/>
        <w:jc w:val="both"/>
        <w:rPr>
          <w:rFonts w:eastAsia="Times New Roman"/>
          <w:color w:val="000000" w:themeColor="text1"/>
        </w:rPr>
      </w:pPr>
      <w:r w:rsidRPr="0057205A">
        <w:rPr>
          <w:color w:val="000000" w:themeColor="text1"/>
        </w:rPr>
        <w:t xml:space="preserve">Le Comité Libanais de Transfusion Sanguine (CLTS) </w:t>
      </w:r>
      <w:r w:rsidR="00B06E15" w:rsidRPr="0057205A">
        <w:rPr>
          <w:color w:val="000000" w:themeColor="text1"/>
        </w:rPr>
        <w:t>met en place</w:t>
      </w:r>
      <w:r w:rsidR="00721AB0" w:rsidRPr="0057205A">
        <w:rPr>
          <w:color w:val="000000" w:themeColor="text1"/>
        </w:rPr>
        <w:t xml:space="preserve"> </w:t>
      </w:r>
      <w:r w:rsidR="00CB0CF8" w:rsidRPr="0057205A">
        <w:rPr>
          <w:color w:val="000000" w:themeColor="text1"/>
        </w:rPr>
        <w:t>l</w:t>
      </w:r>
      <w:r w:rsidRPr="0057205A">
        <w:rPr>
          <w:color w:val="000000" w:themeColor="text1"/>
        </w:rPr>
        <w:t xml:space="preserve">e </w:t>
      </w:r>
      <w:r w:rsidR="00721AB0" w:rsidRPr="0057205A">
        <w:rPr>
          <w:color w:val="000000" w:themeColor="text1"/>
        </w:rPr>
        <w:t>dispositif d’Hémovigilance</w:t>
      </w:r>
      <w:r w:rsidRPr="0057205A">
        <w:rPr>
          <w:color w:val="000000" w:themeColor="text1"/>
        </w:rPr>
        <w:t xml:space="preserve"> </w:t>
      </w:r>
      <w:r w:rsidR="00856F71" w:rsidRPr="0057205A">
        <w:rPr>
          <w:color w:val="000000" w:themeColor="text1"/>
        </w:rPr>
        <w:t>en accord avec</w:t>
      </w:r>
      <w:r w:rsidRPr="0057205A">
        <w:rPr>
          <w:color w:val="000000" w:themeColor="text1"/>
        </w:rPr>
        <w:t xml:space="preserve"> le </w:t>
      </w:r>
      <w:proofErr w:type="gramStart"/>
      <w:r w:rsidRPr="0057205A">
        <w:rPr>
          <w:color w:val="000000" w:themeColor="text1"/>
        </w:rPr>
        <w:t>Ministère</w:t>
      </w:r>
      <w:proofErr w:type="gramEnd"/>
      <w:r w:rsidRPr="0057205A">
        <w:rPr>
          <w:color w:val="000000" w:themeColor="text1"/>
        </w:rPr>
        <w:t xml:space="preserve"> de la Santé Publique</w:t>
      </w:r>
      <w:r w:rsidR="00DF6892" w:rsidRPr="0057205A">
        <w:rPr>
          <w:color w:val="000000" w:themeColor="text1"/>
        </w:rPr>
        <w:t xml:space="preserve"> (MSP)</w:t>
      </w:r>
      <w:r w:rsidR="00C52334" w:rsidRPr="0057205A">
        <w:rPr>
          <w:color w:val="000000" w:themeColor="text1"/>
        </w:rPr>
        <w:t xml:space="preserve">. </w:t>
      </w:r>
      <w:r w:rsidR="00721AB0" w:rsidRPr="0057205A">
        <w:rPr>
          <w:color w:val="000000" w:themeColor="text1"/>
        </w:rPr>
        <w:t>Ce dispositif comprend les actions suivantes :</w:t>
      </w:r>
    </w:p>
    <w:p w14:paraId="5A727541" w14:textId="77777777" w:rsidR="00DF6892" w:rsidRPr="0057205A" w:rsidRDefault="00DF6892" w:rsidP="0057205A">
      <w:pPr>
        <w:pStyle w:val="Body"/>
        <w:numPr>
          <w:ilvl w:val="0"/>
          <w:numId w:val="22"/>
        </w:numPr>
        <w:spacing w:after="0"/>
        <w:jc w:val="both"/>
        <w:rPr>
          <w:color w:val="000000" w:themeColor="text1"/>
        </w:rPr>
      </w:pPr>
      <w:r w:rsidRPr="0057205A">
        <w:rPr>
          <w:color w:val="000000" w:themeColor="text1"/>
        </w:rPr>
        <w:t>Fixer les termes et les aspects organisationnels de l’HV nationale</w:t>
      </w:r>
      <w:r w:rsidR="00721AB0" w:rsidRPr="0057205A">
        <w:rPr>
          <w:color w:val="000000" w:themeColor="text1"/>
        </w:rPr>
        <w:t xml:space="preserve"> notamment la politique et le dispositif de signalement et de déclaration</w:t>
      </w:r>
      <w:r w:rsidR="00993357" w:rsidRPr="0057205A">
        <w:rPr>
          <w:color w:val="000000" w:themeColor="text1"/>
        </w:rPr>
        <w:t>.</w:t>
      </w:r>
      <w:r w:rsidR="00721AB0" w:rsidRPr="0057205A">
        <w:rPr>
          <w:color w:val="000000" w:themeColor="text1"/>
        </w:rPr>
        <w:t xml:space="preserve"> </w:t>
      </w:r>
    </w:p>
    <w:p w14:paraId="74092E8E" w14:textId="77777777" w:rsidR="00B06E15" w:rsidRPr="0057205A" w:rsidRDefault="00ED5F28" w:rsidP="0057205A">
      <w:pPr>
        <w:pStyle w:val="Body"/>
        <w:numPr>
          <w:ilvl w:val="0"/>
          <w:numId w:val="22"/>
        </w:numPr>
        <w:spacing w:after="0"/>
        <w:jc w:val="both"/>
        <w:rPr>
          <w:color w:val="000000" w:themeColor="text1"/>
        </w:rPr>
      </w:pPr>
      <w:r w:rsidRPr="0057205A">
        <w:rPr>
          <w:color w:val="000000" w:themeColor="text1"/>
        </w:rPr>
        <w:t>Animer et coordonner les actions des diffé</w:t>
      </w:r>
      <w:r w:rsidR="00B06E15" w:rsidRPr="0057205A">
        <w:rPr>
          <w:color w:val="000000" w:themeColor="text1"/>
        </w:rPr>
        <w:t>rents intervenants</w:t>
      </w:r>
      <w:r w:rsidR="00721AB0" w:rsidRPr="0057205A">
        <w:rPr>
          <w:color w:val="000000" w:themeColor="text1"/>
        </w:rPr>
        <w:t xml:space="preserve"> de cette politique</w:t>
      </w:r>
    </w:p>
    <w:p w14:paraId="1F4BE5AA" w14:textId="77777777" w:rsidR="000430F1" w:rsidRPr="0057205A" w:rsidRDefault="00D64D48" w:rsidP="0057205A">
      <w:pPr>
        <w:pStyle w:val="Body"/>
        <w:numPr>
          <w:ilvl w:val="0"/>
          <w:numId w:val="22"/>
        </w:numPr>
        <w:spacing w:after="0"/>
        <w:jc w:val="both"/>
        <w:rPr>
          <w:rFonts w:eastAsia="Times New Roman"/>
          <w:color w:val="000000" w:themeColor="text1"/>
        </w:rPr>
      </w:pPr>
      <w:r w:rsidRPr="0057205A">
        <w:rPr>
          <w:color w:val="000000" w:themeColor="text1"/>
        </w:rPr>
        <w:t>Etablir</w:t>
      </w:r>
      <w:r w:rsidR="001A23B1" w:rsidRPr="0057205A">
        <w:rPr>
          <w:color w:val="000000" w:themeColor="text1"/>
        </w:rPr>
        <w:t xml:space="preserve"> les directives pour</w:t>
      </w:r>
      <w:r w:rsidR="00ED5F28" w:rsidRPr="0057205A">
        <w:rPr>
          <w:color w:val="000000" w:themeColor="text1"/>
        </w:rPr>
        <w:t xml:space="preserve"> le contenu et les modalités d'échange </w:t>
      </w:r>
      <w:r w:rsidR="002C2374" w:rsidRPr="0057205A">
        <w:rPr>
          <w:color w:val="000000" w:themeColor="text1"/>
        </w:rPr>
        <w:t xml:space="preserve">de produits et </w:t>
      </w:r>
      <w:r w:rsidR="00ED5F28" w:rsidRPr="0057205A">
        <w:rPr>
          <w:color w:val="000000" w:themeColor="text1"/>
        </w:rPr>
        <w:t xml:space="preserve">d'informations </w:t>
      </w:r>
      <w:r w:rsidR="00856F71" w:rsidRPr="0057205A">
        <w:rPr>
          <w:color w:val="000000" w:themeColor="text1"/>
        </w:rPr>
        <w:t>entre établissements</w:t>
      </w:r>
    </w:p>
    <w:p w14:paraId="3DB669C6" w14:textId="77777777" w:rsidR="000430F1" w:rsidRPr="0057205A" w:rsidRDefault="001A23B1" w:rsidP="0057205A">
      <w:pPr>
        <w:pStyle w:val="Body"/>
        <w:numPr>
          <w:ilvl w:val="0"/>
          <w:numId w:val="22"/>
        </w:numPr>
        <w:spacing w:after="0"/>
        <w:jc w:val="both"/>
        <w:rPr>
          <w:rFonts w:eastAsia="Times New Roman"/>
          <w:color w:val="000000" w:themeColor="text1"/>
        </w:rPr>
      </w:pPr>
      <w:r w:rsidRPr="0057205A">
        <w:rPr>
          <w:color w:val="000000" w:themeColor="text1"/>
        </w:rPr>
        <w:t>Analyse</w:t>
      </w:r>
      <w:r w:rsidR="00082BFD" w:rsidRPr="0057205A">
        <w:rPr>
          <w:color w:val="000000" w:themeColor="text1"/>
        </w:rPr>
        <w:t>r</w:t>
      </w:r>
      <w:r w:rsidRPr="0057205A">
        <w:rPr>
          <w:color w:val="000000" w:themeColor="text1"/>
        </w:rPr>
        <w:t xml:space="preserve"> les résultats</w:t>
      </w:r>
      <w:r w:rsidR="00D64D48" w:rsidRPr="0057205A">
        <w:rPr>
          <w:color w:val="000000" w:themeColor="text1"/>
        </w:rPr>
        <w:t xml:space="preserve"> des incidents et des effets indésirables et proposer des conduites préventives  </w:t>
      </w:r>
    </w:p>
    <w:p w14:paraId="1A04A18E" w14:textId="0C22C126" w:rsidR="00783DB4" w:rsidRPr="0057205A" w:rsidRDefault="00B06E15" w:rsidP="0057205A">
      <w:pPr>
        <w:pStyle w:val="Body"/>
        <w:numPr>
          <w:ilvl w:val="0"/>
          <w:numId w:val="22"/>
        </w:numPr>
        <w:spacing w:after="0"/>
        <w:jc w:val="both"/>
        <w:rPr>
          <w:rFonts w:eastAsia="Times New Roman"/>
          <w:color w:val="000000" w:themeColor="text1"/>
        </w:rPr>
      </w:pPr>
      <w:r w:rsidRPr="0057205A">
        <w:rPr>
          <w:color w:val="000000" w:themeColor="text1"/>
        </w:rPr>
        <w:t xml:space="preserve">Informer le </w:t>
      </w:r>
      <w:r w:rsidR="00DF6892" w:rsidRPr="0057205A">
        <w:rPr>
          <w:color w:val="000000" w:themeColor="text1"/>
        </w:rPr>
        <w:t>MSP</w:t>
      </w:r>
      <w:r w:rsidRPr="0057205A">
        <w:rPr>
          <w:color w:val="000000" w:themeColor="text1"/>
        </w:rPr>
        <w:t xml:space="preserve"> de</w:t>
      </w:r>
      <w:r w:rsidR="00A84A18" w:rsidRPr="0057205A">
        <w:rPr>
          <w:color w:val="000000" w:themeColor="text1"/>
        </w:rPr>
        <w:t xml:space="preserve"> l’éta</w:t>
      </w:r>
      <w:bookmarkStart w:id="10" w:name="_Toc4"/>
      <w:r w:rsidR="009C15A0" w:rsidRPr="0057205A">
        <w:rPr>
          <w:color w:val="000000" w:themeColor="text1"/>
        </w:rPr>
        <w:t xml:space="preserve">t d’avancement de </w:t>
      </w:r>
      <w:r w:rsidR="009A5A13" w:rsidRPr="0057205A">
        <w:rPr>
          <w:color w:val="000000" w:themeColor="text1"/>
        </w:rPr>
        <w:t>l’Hémovigilance à</w:t>
      </w:r>
      <w:r w:rsidR="00D64D48" w:rsidRPr="0057205A">
        <w:rPr>
          <w:color w:val="000000" w:themeColor="text1"/>
        </w:rPr>
        <w:t xml:space="preserve"> l’échelle </w:t>
      </w:r>
      <w:r w:rsidR="009C15A0" w:rsidRPr="0057205A">
        <w:rPr>
          <w:color w:val="000000" w:themeColor="text1"/>
        </w:rPr>
        <w:t>nationale</w:t>
      </w:r>
    </w:p>
    <w:p w14:paraId="3EB68925" w14:textId="77777777" w:rsidR="00F75374" w:rsidRPr="0057205A" w:rsidRDefault="00F75374" w:rsidP="0057205A">
      <w:pPr>
        <w:pStyle w:val="Body"/>
        <w:spacing w:after="0"/>
        <w:ind w:left="720"/>
        <w:jc w:val="both"/>
        <w:rPr>
          <w:rFonts w:eastAsia="Times New Roman"/>
          <w:color w:val="000000" w:themeColor="text1"/>
        </w:rPr>
      </w:pPr>
    </w:p>
    <w:p w14:paraId="7BB831FF" w14:textId="77777777" w:rsidR="000430F1" w:rsidRPr="0057205A" w:rsidRDefault="00DF0436" w:rsidP="0057205A">
      <w:pPr>
        <w:pStyle w:val="NoSpacing"/>
        <w:spacing w:line="276" w:lineRule="auto"/>
        <w:rPr>
          <w:rFonts w:ascii="Calibri" w:eastAsia="Times New Roman Bold" w:hAnsi="Calibri" w:cs="Calibri"/>
          <w:b/>
          <w:bCs/>
          <w:i/>
          <w:iCs/>
          <w:sz w:val="22"/>
          <w:szCs w:val="22"/>
        </w:rPr>
      </w:pPr>
      <w:r w:rsidRPr="0057205A">
        <w:rPr>
          <w:rFonts w:ascii="Calibri" w:hAnsi="Calibri" w:cs="Calibri"/>
          <w:b/>
          <w:bCs/>
          <w:i/>
          <w:iCs/>
          <w:sz w:val="22"/>
          <w:szCs w:val="22"/>
        </w:rPr>
        <w:t>V.2-</w:t>
      </w:r>
      <w:r w:rsidR="00ED5F28" w:rsidRPr="0057205A">
        <w:rPr>
          <w:rFonts w:ascii="Calibri" w:hAnsi="Calibri" w:cs="Calibri"/>
          <w:b/>
          <w:bCs/>
          <w:i/>
          <w:iCs/>
          <w:sz w:val="22"/>
          <w:szCs w:val="22"/>
        </w:rPr>
        <w:t xml:space="preserve"> Au niveau de l'établissement de Sant</w:t>
      </w:r>
      <w:r w:rsidR="00B06E15" w:rsidRPr="0057205A">
        <w:rPr>
          <w:rFonts w:ascii="Calibri" w:hAnsi="Calibri" w:cs="Calibri"/>
          <w:b/>
          <w:bCs/>
          <w:i/>
          <w:iCs/>
          <w:sz w:val="22"/>
          <w:szCs w:val="22"/>
        </w:rPr>
        <w:t>é</w:t>
      </w:r>
      <w:bookmarkEnd w:id="10"/>
      <w:r w:rsidR="00715787" w:rsidRPr="0057205A">
        <w:rPr>
          <w:rFonts w:ascii="Calibri" w:hAnsi="Calibri" w:cs="Calibri"/>
          <w:b/>
          <w:bCs/>
          <w:i/>
          <w:iCs/>
          <w:sz w:val="22"/>
          <w:szCs w:val="22"/>
        </w:rPr>
        <w:t> </w:t>
      </w:r>
    </w:p>
    <w:p w14:paraId="6462F081" w14:textId="77777777" w:rsidR="000430F1" w:rsidRPr="0057205A" w:rsidRDefault="00ED5F28" w:rsidP="0057205A">
      <w:pPr>
        <w:pStyle w:val="Body"/>
        <w:jc w:val="both"/>
        <w:rPr>
          <w:rFonts w:eastAsia="Times New Roman"/>
          <w:b/>
          <w:bCs/>
          <w:i/>
          <w:iCs/>
          <w:color w:val="000000" w:themeColor="text1"/>
        </w:rPr>
      </w:pPr>
      <w:r w:rsidRPr="0057205A">
        <w:rPr>
          <w:color w:val="000000" w:themeColor="text1"/>
        </w:rPr>
        <w:t>En matière d'</w:t>
      </w:r>
      <w:r w:rsidR="00CE008B" w:rsidRPr="0057205A">
        <w:rPr>
          <w:color w:val="000000" w:themeColor="text1"/>
        </w:rPr>
        <w:t>Hémovigilance</w:t>
      </w:r>
      <w:r w:rsidRPr="0057205A">
        <w:rPr>
          <w:color w:val="000000" w:themeColor="text1"/>
        </w:rPr>
        <w:t>, la règlementation prévoit deux catégories d'intervenants dans les établissements de santé publics et privés</w:t>
      </w:r>
      <w:r w:rsidR="00B06E15" w:rsidRPr="0057205A">
        <w:rPr>
          <w:color w:val="000000" w:themeColor="text1"/>
        </w:rPr>
        <w:t xml:space="preserve"> </w:t>
      </w:r>
      <w:r w:rsidRPr="0057205A">
        <w:rPr>
          <w:color w:val="000000" w:themeColor="text1"/>
        </w:rPr>
        <w:t xml:space="preserve">: </w:t>
      </w:r>
    </w:p>
    <w:p w14:paraId="42B18238" w14:textId="68FAE886" w:rsidR="000430F1" w:rsidRPr="0057205A" w:rsidRDefault="00783DB4" w:rsidP="0057205A">
      <w:pPr>
        <w:pStyle w:val="Body"/>
        <w:spacing w:after="0"/>
        <w:jc w:val="both"/>
        <w:rPr>
          <w:rFonts w:eastAsia="Times New Roman"/>
          <w:color w:val="000000" w:themeColor="text1"/>
        </w:rPr>
      </w:pPr>
      <w:r w:rsidRPr="0057205A">
        <w:rPr>
          <w:color w:val="000000" w:themeColor="text1"/>
        </w:rPr>
        <w:t>- Les C</w:t>
      </w:r>
      <w:r w:rsidR="00ED5F28" w:rsidRPr="0057205A">
        <w:rPr>
          <w:color w:val="000000" w:themeColor="text1"/>
        </w:rPr>
        <w:t xml:space="preserve">orrespondants </w:t>
      </w:r>
      <w:r w:rsidR="009A5A13" w:rsidRPr="0057205A">
        <w:rPr>
          <w:color w:val="000000" w:themeColor="text1"/>
        </w:rPr>
        <w:t>d’Hémovigilance</w:t>
      </w:r>
      <w:r w:rsidR="00ED5F28" w:rsidRPr="0057205A">
        <w:rPr>
          <w:color w:val="000000" w:themeColor="text1"/>
        </w:rPr>
        <w:t xml:space="preserve"> </w:t>
      </w:r>
      <w:r w:rsidR="000E4D74" w:rsidRPr="0057205A">
        <w:rPr>
          <w:color w:val="000000" w:themeColor="text1"/>
        </w:rPr>
        <w:t>désigné</w:t>
      </w:r>
      <w:r w:rsidR="009614C0" w:rsidRPr="0057205A">
        <w:rPr>
          <w:color w:val="000000" w:themeColor="text1"/>
        </w:rPr>
        <w:t>s</w:t>
      </w:r>
    </w:p>
    <w:p w14:paraId="2EDD73C3" w14:textId="701310D5" w:rsidR="000430F1" w:rsidRPr="0057205A" w:rsidRDefault="00783DB4" w:rsidP="0057205A">
      <w:pPr>
        <w:pStyle w:val="Body"/>
        <w:spacing w:after="0"/>
        <w:jc w:val="both"/>
        <w:rPr>
          <w:color w:val="000000" w:themeColor="text1"/>
        </w:rPr>
      </w:pPr>
      <w:r w:rsidRPr="0057205A">
        <w:rPr>
          <w:color w:val="000000" w:themeColor="text1"/>
        </w:rPr>
        <w:t>- Les Comités de S</w:t>
      </w:r>
      <w:r w:rsidR="00ED5F28" w:rsidRPr="0057205A">
        <w:rPr>
          <w:color w:val="000000" w:themeColor="text1"/>
        </w:rPr>
        <w:t>é</w:t>
      </w:r>
      <w:r w:rsidRPr="0057205A">
        <w:rPr>
          <w:color w:val="000000" w:themeColor="text1"/>
        </w:rPr>
        <w:t>curité T</w:t>
      </w:r>
      <w:r w:rsidR="000E4D74" w:rsidRPr="0057205A">
        <w:rPr>
          <w:color w:val="000000" w:themeColor="text1"/>
        </w:rPr>
        <w:t xml:space="preserve">ransfusionnelle et </w:t>
      </w:r>
      <w:r w:rsidR="009A5A13" w:rsidRPr="0057205A">
        <w:rPr>
          <w:color w:val="000000" w:themeColor="text1"/>
        </w:rPr>
        <w:t>d’Hémovigilance</w:t>
      </w:r>
      <w:r w:rsidR="000E4D74" w:rsidRPr="0057205A">
        <w:rPr>
          <w:color w:val="000000" w:themeColor="text1"/>
        </w:rPr>
        <w:t xml:space="preserve"> </w:t>
      </w:r>
      <w:r w:rsidR="00527036" w:rsidRPr="0057205A">
        <w:rPr>
          <w:color w:val="000000" w:themeColor="text1"/>
        </w:rPr>
        <w:t xml:space="preserve">(CSTH) </w:t>
      </w:r>
      <w:r w:rsidR="009614C0" w:rsidRPr="0057205A">
        <w:rPr>
          <w:color w:val="000000" w:themeColor="text1"/>
        </w:rPr>
        <w:t>dans les ES</w:t>
      </w:r>
    </w:p>
    <w:p w14:paraId="00AEDC61" w14:textId="77777777" w:rsidR="00E0560B" w:rsidRPr="0057205A" w:rsidRDefault="00E0560B" w:rsidP="0057205A">
      <w:pPr>
        <w:pStyle w:val="Body"/>
        <w:spacing w:after="0"/>
        <w:jc w:val="both"/>
        <w:rPr>
          <w:rFonts w:eastAsia="Times New Roman"/>
          <w:color w:val="000000" w:themeColor="text1"/>
        </w:rPr>
      </w:pPr>
    </w:p>
    <w:p w14:paraId="4F49353A" w14:textId="40D29CED" w:rsidR="00783DB4" w:rsidRPr="0057205A" w:rsidRDefault="00DF0436" w:rsidP="0057205A">
      <w:pPr>
        <w:pStyle w:val="NoSpacing"/>
        <w:spacing w:line="276" w:lineRule="auto"/>
        <w:rPr>
          <w:rFonts w:ascii="Calibri" w:hAnsi="Calibri" w:cs="Calibri"/>
          <w:b/>
          <w:bCs/>
          <w:i/>
          <w:iCs/>
          <w:sz w:val="22"/>
          <w:szCs w:val="22"/>
          <w:lang w:val="fr-FR"/>
        </w:rPr>
      </w:pPr>
      <w:r w:rsidRPr="0057205A">
        <w:rPr>
          <w:rFonts w:ascii="Calibri" w:hAnsi="Calibri" w:cs="Calibri"/>
          <w:b/>
          <w:bCs/>
          <w:i/>
          <w:iCs/>
          <w:sz w:val="22"/>
          <w:szCs w:val="22"/>
          <w:lang w:val="fr-FR"/>
        </w:rPr>
        <w:t>V.2.1-</w:t>
      </w:r>
      <w:r w:rsidR="00ED5F28" w:rsidRPr="0057205A">
        <w:rPr>
          <w:rFonts w:ascii="Calibri" w:hAnsi="Calibri" w:cs="Calibri"/>
          <w:b/>
          <w:bCs/>
          <w:i/>
          <w:iCs/>
          <w:sz w:val="22"/>
          <w:szCs w:val="22"/>
          <w:lang w:val="fr-FR"/>
        </w:rPr>
        <w:t xml:space="preserve"> </w:t>
      </w:r>
      <w:r w:rsidR="00434C2F" w:rsidRPr="0057205A">
        <w:rPr>
          <w:rFonts w:ascii="Calibri" w:hAnsi="Calibri" w:cs="Calibri"/>
          <w:b/>
          <w:bCs/>
          <w:i/>
          <w:iCs/>
          <w:sz w:val="22"/>
          <w:szCs w:val="22"/>
          <w:lang w:val="fr-FR"/>
        </w:rPr>
        <w:t>C</w:t>
      </w:r>
      <w:r w:rsidR="00ED5F28" w:rsidRPr="0057205A">
        <w:rPr>
          <w:rFonts w:ascii="Calibri" w:hAnsi="Calibri" w:cs="Calibri"/>
          <w:b/>
          <w:bCs/>
          <w:i/>
          <w:iCs/>
          <w:sz w:val="22"/>
          <w:szCs w:val="22"/>
          <w:lang w:val="fr-FR"/>
        </w:rPr>
        <w:t xml:space="preserve">orrespondant </w:t>
      </w:r>
      <w:r w:rsidR="009A5A13" w:rsidRPr="0057205A">
        <w:rPr>
          <w:rFonts w:ascii="Calibri" w:hAnsi="Calibri" w:cs="Calibri"/>
          <w:b/>
          <w:bCs/>
          <w:i/>
          <w:iCs/>
          <w:sz w:val="22"/>
          <w:szCs w:val="22"/>
          <w:lang w:val="fr-FR"/>
        </w:rPr>
        <w:t>d’Hémovigilance</w:t>
      </w:r>
      <w:r w:rsidR="00ED5F28" w:rsidRPr="0057205A">
        <w:rPr>
          <w:rFonts w:ascii="Calibri" w:hAnsi="Calibri" w:cs="Calibri"/>
          <w:b/>
          <w:bCs/>
          <w:i/>
          <w:iCs/>
          <w:sz w:val="22"/>
          <w:szCs w:val="22"/>
          <w:lang w:val="fr-FR"/>
        </w:rPr>
        <w:t xml:space="preserve"> de l'établissement de </w:t>
      </w:r>
      <w:r w:rsidR="00FC39D5" w:rsidRPr="0057205A">
        <w:rPr>
          <w:rFonts w:ascii="Calibri" w:hAnsi="Calibri" w:cs="Calibri"/>
          <w:b/>
          <w:bCs/>
          <w:i/>
          <w:iCs/>
          <w:sz w:val="22"/>
          <w:szCs w:val="22"/>
          <w:lang w:val="fr-FR"/>
        </w:rPr>
        <w:t>s</w:t>
      </w:r>
      <w:r w:rsidR="00ED5F28" w:rsidRPr="0057205A">
        <w:rPr>
          <w:rFonts w:ascii="Calibri" w:hAnsi="Calibri" w:cs="Calibri"/>
          <w:b/>
          <w:bCs/>
          <w:i/>
          <w:iCs/>
          <w:sz w:val="22"/>
          <w:szCs w:val="22"/>
          <w:lang w:val="fr-FR"/>
        </w:rPr>
        <w:t>ant</w:t>
      </w:r>
      <w:r w:rsidR="00B06E15" w:rsidRPr="0057205A">
        <w:rPr>
          <w:rFonts w:ascii="Calibri" w:hAnsi="Calibri" w:cs="Calibri"/>
          <w:b/>
          <w:bCs/>
          <w:i/>
          <w:iCs/>
          <w:sz w:val="22"/>
          <w:szCs w:val="22"/>
          <w:lang w:val="fr-FR"/>
        </w:rPr>
        <w:t>é</w:t>
      </w:r>
      <w:r w:rsidR="00E0560B" w:rsidRPr="0057205A">
        <w:rPr>
          <w:rFonts w:ascii="Calibri" w:hAnsi="Calibri" w:cs="Calibri"/>
          <w:b/>
          <w:bCs/>
          <w:i/>
          <w:iCs/>
          <w:sz w:val="22"/>
          <w:szCs w:val="22"/>
          <w:lang w:val="fr-FR"/>
        </w:rPr>
        <w:t xml:space="preserve"> ou CHES (cf. Annexe II)</w:t>
      </w:r>
    </w:p>
    <w:p w14:paraId="468BD08E" w14:textId="77777777" w:rsidR="00CF01BE" w:rsidRPr="0057205A" w:rsidRDefault="00CF01BE" w:rsidP="0057205A">
      <w:pPr>
        <w:pStyle w:val="Body"/>
        <w:spacing w:before="100" w:after="100"/>
        <w:jc w:val="both"/>
        <w:rPr>
          <w:rFonts w:eastAsia="Times New Roman Bold"/>
          <w:color w:val="000000" w:themeColor="text1"/>
          <w:u w:val="single"/>
        </w:rPr>
      </w:pPr>
      <w:proofErr w:type="gramStart"/>
      <w:r w:rsidRPr="0057205A">
        <w:rPr>
          <w:color w:val="000000" w:themeColor="text1"/>
          <w:u w:val="single"/>
        </w:rPr>
        <w:t>i</w:t>
      </w:r>
      <w:proofErr w:type="gramEnd"/>
      <w:r w:rsidRPr="0057205A">
        <w:rPr>
          <w:color w:val="000000" w:themeColor="text1"/>
          <w:u w:val="single"/>
        </w:rPr>
        <w:t xml:space="preserve">- </w:t>
      </w:r>
      <w:r w:rsidR="00434C2F" w:rsidRPr="0057205A">
        <w:rPr>
          <w:color w:val="000000" w:themeColor="text1"/>
          <w:u w:val="single"/>
        </w:rPr>
        <w:t>M</w:t>
      </w:r>
      <w:r w:rsidRPr="0057205A">
        <w:rPr>
          <w:color w:val="000000" w:themeColor="text1"/>
          <w:u w:val="single"/>
        </w:rPr>
        <w:t>ise en place du CHES :</w:t>
      </w:r>
    </w:p>
    <w:p w14:paraId="7CCCBEC2" w14:textId="54906E91" w:rsidR="00783DB4" w:rsidRPr="0057205A" w:rsidRDefault="00ED5F28" w:rsidP="0057205A">
      <w:pPr>
        <w:pStyle w:val="Body"/>
        <w:spacing w:before="100" w:after="100"/>
        <w:jc w:val="both"/>
        <w:rPr>
          <w:color w:val="000000" w:themeColor="text1"/>
        </w:rPr>
      </w:pPr>
      <w:r w:rsidRPr="0057205A">
        <w:rPr>
          <w:color w:val="000000" w:themeColor="text1"/>
        </w:rPr>
        <w:t xml:space="preserve">Au sein de chaque établissement de </w:t>
      </w:r>
      <w:r w:rsidR="00B06E15" w:rsidRPr="0057205A">
        <w:rPr>
          <w:color w:val="000000" w:themeColor="text1"/>
        </w:rPr>
        <w:t>santé</w:t>
      </w:r>
      <w:r w:rsidRPr="0057205A">
        <w:rPr>
          <w:color w:val="000000" w:themeColor="text1"/>
        </w:rPr>
        <w:t xml:space="preserve"> public ou privé doit être désigné au moins un correspondant </w:t>
      </w:r>
      <w:r w:rsidR="009A5A13" w:rsidRPr="0057205A">
        <w:rPr>
          <w:color w:val="000000" w:themeColor="text1"/>
        </w:rPr>
        <w:t>d’Hémovigilance</w:t>
      </w:r>
      <w:r w:rsidRPr="0057205A">
        <w:rPr>
          <w:color w:val="000000" w:themeColor="text1"/>
        </w:rPr>
        <w:t xml:space="preserve"> indépendamment de la présence ou non d'un Centre de Transfusion Sanguine au sein de l'ES. </w:t>
      </w:r>
    </w:p>
    <w:p w14:paraId="55BF1D40" w14:textId="77777777" w:rsidR="00783DB4" w:rsidRPr="0057205A" w:rsidRDefault="00783DB4" w:rsidP="0057205A">
      <w:pPr>
        <w:pStyle w:val="Body"/>
        <w:spacing w:before="100" w:after="100"/>
        <w:jc w:val="both"/>
        <w:rPr>
          <w:color w:val="000000" w:themeColor="text1"/>
        </w:rPr>
      </w:pPr>
    </w:p>
    <w:p w14:paraId="1FD1F4FF" w14:textId="77777777" w:rsidR="00AD0555" w:rsidRPr="0057205A" w:rsidRDefault="00A04A85" w:rsidP="0057205A">
      <w:pPr>
        <w:spacing w:before="100" w:after="100" w:line="276" w:lineRule="auto"/>
        <w:jc w:val="both"/>
        <w:outlineLvl w:val="4"/>
        <w:rPr>
          <w:rFonts w:ascii="Calibri" w:hAnsi="Calibri" w:cs="Calibri"/>
          <w:color w:val="000000" w:themeColor="text1"/>
          <w:sz w:val="22"/>
          <w:szCs w:val="22"/>
          <w:u w:val="single"/>
          <w:lang w:val="fr-FR"/>
        </w:rPr>
      </w:pPr>
      <w:proofErr w:type="gramStart"/>
      <w:r w:rsidRPr="0057205A">
        <w:rPr>
          <w:rFonts w:ascii="Calibri" w:hAnsi="Calibri" w:cs="Calibri"/>
          <w:color w:val="000000" w:themeColor="text1"/>
          <w:sz w:val="22"/>
          <w:szCs w:val="22"/>
          <w:u w:val="single"/>
          <w:lang w:val="fr-FR"/>
        </w:rPr>
        <w:t>i</w:t>
      </w:r>
      <w:r w:rsidR="00CF01BE" w:rsidRPr="0057205A">
        <w:rPr>
          <w:rFonts w:ascii="Calibri" w:hAnsi="Calibri" w:cs="Calibri"/>
          <w:color w:val="000000" w:themeColor="text1"/>
          <w:sz w:val="22"/>
          <w:szCs w:val="22"/>
          <w:u w:val="single"/>
          <w:lang w:val="fr-FR"/>
        </w:rPr>
        <w:t>i</w:t>
      </w:r>
      <w:proofErr w:type="gramEnd"/>
      <w:r w:rsidR="00FC39D5" w:rsidRPr="0057205A">
        <w:rPr>
          <w:rFonts w:ascii="Calibri" w:hAnsi="Calibri" w:cs="Calibri"/>
          <w:color w:val="000000" w:themeColor="text1"/>
          <w:sz w:val="22"/>
          <w:szCs w:val="22"/>
          <w:u w:val="single"/>
          <w:lang w:val="fr-FR"/>
        </w:rPr>
        <w:t>- Qualification et n</w:t>
      </w:r>
      <w:r w:rsidRPr="0057205A">
        <w:rPr>
          <w:rFonts w:ascii="Calibri" w:hAnsi="Calibri" w:cs="Calibri"/>
          <w:color w:val="000000" w:themeColor="text1"/>
          <w:sz w:val="22"/>
          <w:szCs w:val="22"/>
          <w:u w:val="single"/>
          <w:lang w:val="fr-FR"/>
        </w:rPr>
        <w:t>omination du correspondant :</w:t>
      </w:r>
    </w:p>
    <w:p w14:paraId="54B09ED2" w14:textId="658885FD" w:rsidR="00A04A85" w:rsidRPr="0057205A" w:rsidRDefault="00A04A85" w:rsidP="0057205A">
      <w:pPr>
        <w:spacing w:before="100" w:after="100" w:line="276" w:lineRule="auto"/>
        <w:jc w:val="both"/>
        <w:outlineLvl w:val="4"/>
        <w:rPr>
          <w:rFonts w:ascii="Calibri" w:hAnsi="Calibri" w:cs="Calibri"/>
          <w:color w:val="000000" w:themeColor="text1"/>
          <w:sz w:val="22"/>
          <w:szCs w:val="22"/>
          <w:lang w:val="fr-FR"/>
        </w:rPr>
      </w:pPr>
      <w:r w:rsidRPr="0057205A">
        <w:rPr>
          <w:rFonts w:ascii="Calibri" w:hAnsi="Calibri" w:cs="Calibri"/>
          <w:color w:val="000000" w:themeColor="text1"/>
          <w:sz w:val="22"/>
          <w:szCs w:val="22"/>
          <w:lang w:val="fr-FR"/>
        </w:rPr>
        <w:t xml:space="preserve">Le CHES doit être </w:t>
      </w:r>
      <w:r w:rsidR="00224998" w:rsidRPr="0057205A">
        <w:rPr>
          <w:rFonts w:ascii="Calibri" w:hAnsi="Calibri" w:cs="Calibri"/>
          <w:color w:val="000000" w:themeColor="text1"/>
          <w:sz w:val="22"/>
          <w:szCs w:val="22"/>
          <w:lang w:val="fr-FR"/>
        </w:rPr>
        <w:t xml:space="preserve">de </w:t>
      </w:r>
      <w:r w:rsidR="00012AA0" w:rsidRPr="0057205A">
        <w:rPr>
          <w:rFonts w:ascii="Calibri" w:hAnsi="Calibri" w:cs="Calibri"/>
          <w:color w:val="000000" w:themeColor="text1"/>
          <w:sz w:val="22"/>
          <w:szCs w:val="22"/>
          <w:lang w:val="fr-FR"/>
        </w:rPr>
        <w:t>préférence</w:t>
      </w:r>
      <w:r w:rsidR="00224998" w:rsidRPr="0057205A">
        <w:rPr>
          <w:rFonts w:ascii="Calibri" w:hAnsi="Calibri" w:cs="Calibri"/>
          <w:color w:val="000000" w:themeColor="text1"/>
          <w:sz w:val="22"/>
          <w:szCs w:val="22"/>
          <w:lang w:val="fr-FR"/>
        </w:rPr>
        <w:t xml:space="preserve"> </w:t>
      </w:r>
      <w:r w:rsidRPr="0057205A">
        <w:rPr>
          <w:rFonts w:ascii="Calibri" w:hAnsi="Calibri" w:cs="Calibri"/>
          <w:color w:val="000000" w:themeColor="text1"/>
          <w:sz w:val="22"/>
          <w:szCs w:val="22"/>
          <w:lang w:val="fr-FR"/>
        </w:rPr>
        <w:t xml:space="preserve">un médecin spécialiste ayant une </w:t>
      </w:r>
      <w:r w:rsidR="003D51F9" w:rsidRPr="0057205A">
        <w:rPr>
          <w:rFonts w:ascii="Calibri" w:hAnsi="Calibri" w:cs="Calibri"/>
          <w:color w:val="000000" w:themeColor="text1"/>
          <w:sz w:val="22"/>
          <w:szCs w:val="22"/>
          <w:lang w:val="fr-FR"/>
        </w:rPr>
        <w:t>compétence</w:t>
      </w:r>
      <w:r w:rsidRPr="0057205A">
        <w:rPr>
          <w:rFonts w:ascii="Calibri" w:hAnsi="Calibri" w:cs="Calibri"/>
          <w:color w:val="000000" w:themeColor="text1"/>
          <w:sz w:val="22"/>
          <w:szCs w:val="22"/>
          <w:lang w:val="fr-FR"/>
        </w:rPr>
        <w:t xml:space="preserve"> dans le domaine de </w:t>
      </w:r>
      <w:r w:rsidR="00012AA0" w:rsidRPr="0057205A">
        <w:rPr>
          <w:rFonts w:ascii="Calibri" w:hAnsi="Calibri" w:cs="Calibri"/>
          <w:color w:val="000000" w:themeColor="text1"/>
          <w:sz w:val="22"/>
          <w:szCs w:val="22"/>
          <w:lang w:val="fr-FR"/>
        </w:rPr>
        <w:t>la transfusion</w:t>
      </w:r>
      <w:r w:rsidRPr="0057205A">
        <w:rPr>
          <w:rFonts w:ascii="Calibri" w:hAnsi="Calibri" w:cs="Calibri"/>
          <w:color w:val="000000" w:themeColor="text1"/>
          <w:sz w:val="22"/>
          <w:szCs w:val="22"/>
          <w:lang w:val="fr-FR"/>
        </w:rPr>
        <w:t>. Il est désigné par l</w:t>
      </w:r>
      <w:r w:rsidR="00F75374" w:rsidRPr="0057205A">
        <w:rPr>
          <w:rFonts w:ascii="Calibri" w:hAnsi="Calibri" w:cs="Calibri"/>
          <w:color w:val="000000" w:themeColor="text1"/>
          <w:sz w:val="22"/>
          <w:szCs w:val="22"/>
          <w:lang w:val="fr-FR"/>
        </w:rPr>
        <w:t>a</w:t>
      </w:r>
      <w:r w:rsidRPr="0057205A">
        <w:rPr>
          <w:rFonts w:ascii="Calibri" w:hAnsi="Calibri" w:cs="Calibri"/>
          <w:color w:val="000000" w:themeColor="text1"/>
          <w:sz w:val="22"/>
          <w:szCs w:val="22"/>
          <w:lang w:val="fr-FR"/>
        </w:rPr>
        <w:t xml:space="preserve"> Dir</w:t>
      </w:r>
      <w:r w:rsidR="00A90F15" w:rsidRPr="0057205A">
        <w:rPr>
          <w:rFonts w:ascii="Calibri" w:hAnsi="Calibri" w:cs="Calibri"/>
          <w:color w:val="000000" w:themeColor="text1"/>
          <w:sz w:val="22"/>
          <w:szCs w:val="22"/>
          <w:lang w:val="fr-FR"/>
        </w:rPr>
        <w:t>e</w:t>
      </w:r>
      <w:r w:rsidR="00CF01BE" w:rsidRPr="0057205A">
        <w:rPr>
          <w:rFonts w:ascii="Calibri" w:hAnsi="Calibri" w:cs="Calibri"/>
          <w:color w:val="000000" w:themeColor="text1"/>
          <w:sz w:val="22"/>
          <w:szCs w:val="22"/>
          <w:lang w:val="fr-FR"/>
        </w:rPr>
        <w:t>ction</w:t>
      </w:r>
      <w:r w:rsidRPr="0057205A">
        <w:rPr>
          <w:rFonts w:ascii="Calibri" w:hAnsi="Calibri" w:cs="Calibri"/>
          <w:color w:val="000000" w:themeColor="text1"/>
          <w:sz w:val="22"/>
          <w:szCs w:val="22"/>
          <w:lang w:val="fr-FR"/>
        </w:rPr>
        <w:t xml:space="preserve"> de l'</w:t>
      </w:r>
      <w:r w:rsidR="00FD156B" w:rsidRPr="0057205A">
        <w:rPr>
          <w:rFonts w:ascii="Calibri" w:hAnsi="Calibri" w:cs="Calibri"/>
          <w:color w:val="000000" w:themeColor="text1"/>
          <w:sz w:val="22"/>
          <w:szCs w:val="22"/>
          <w:lang w:val="fr-FR"/>
        </w:rPr>
        <w:t xml:space="preserve">Établissement de </w:t>
      </w:r>
      <w:r w:rsidRPr="0057205A">
        <w:rPr>
          <w:rFonts w:ascii="Calibri" w:hAnsi="Calibri" w:cs="Calibri"/>
          <w:color w:val="000000" w:themeColor="text1"/>
          <w:sz w:val="22"/>
          <w:szCs w:val="22"/>
          <w:lang w:val="fr-FR"/>
        </w:rPr>
        <w:t>S</w:t>
      </w:r>
      <w:r w:rsidR="00FD156B" w:rsidRPr="0057205A">
        <w:rPr>
          <w:rFonts w:ascii="Calibri" w:hAnsi="Calibri" w:cs="Calibri"/>
          <w:color w:val="000000" w:themeColor="text1"/>
          <w:sz w:val="22"/>
          <w:szCs w:val="22"/>
          <w:lang w:val="fr-FR"/>
        </w:rPr>
        <w:t>ante</w:t>
      </w:r>
      <w:r w:rsidRPr="0057205A">
        <w:rPr>
          <w:rFonts w:ascii="Calibri" w:hAnsi="Calibri" w:cs="Calibri"/>
          <w:color w:val="000000" w:themeColor="text1"/>
          <w:sz w:val="22"/>
          <w:szCs w:val="22"/>
          <w:lang w:val="fr-FR"/>
        </w:rPr>
        <w:t xml:space="preserve"> pour une durée de </w:t>
      </w:r>
      <w:r w:rsidR="009A5A13" w:rsidRPr="0057205A">
        <w:rPr>
          <w:rFonts w:ascii="Calibri" w:hAnsi="Calibri" w:cs="Calibri"/>
          <w:color w:val="000000" w:themeColor="text1"/>
          <w:sz w:val="22"/>
          <w:szCs w:val="22"/>
          <w:lang w:val="fr-FR"/>
        </w:rPr>
        <w:t>trois ans renouvelables</w:t>
      </w:r>
      <w:r w:rsidRPr="0057205A">
        <w:rPr>
          <w:rFonts w:ascii="Calibri" w:hAnsi="Calibri" w:cs="Calibri"/>
          <w:color w:val="000000" w:themeColor="text1"/>
          <w:sz w:val="22"/>
          <w:szCs w:val="22"/>
          <w:lang w:val="fr-FR"/>
        </w:rPr>
        <w:t>. Son nom doit être communiqué au C</w:t>
      </w:r>
      <w:r w:rsidR="00B37CB3" w:rsidRPr="0057205A">
        <w:rPr>
          <w:rFonts w:ascii="Calibri" w:hAnsi="Calibri" w:cs="Calibri"/>
          <w:color w:val="000000" w:themeColor="text1"/>
          <w:sz w:val="22"/>
          <w:szCs w:val="22"/>
          <w:lang w:val="fr-FR"/>
        </w:rPr>
        <w:t>LTS</w:t>
      </w:r>
      <w:r w:rsidRPr="0057205A">
        <w:rPr>
          <w:rFonts w:ascii="Calibri" w:hAnsi="Calibri" w:cs="Calibri"/>
          <w:color w:val="000000" w:themeColor="text1"/>
          <w:sz w:val="22"/>
          <w:szCs w:val="22"/>
          <w:lang w:val="fr-FR"/>
        </w:rPr>
        <w:t>.</w:t>
      </w:r>
      <w:r w:rsidR="00123F2C" w:rsidRPr="0057205A">
        <w:rPr>
          <w:rFonts w:ascii="Calibri" w:hAnsi="Calibri" w:cs="Calibri"/>
          <w:color w:val="000000" w:themeColor="text1"/>
          <w:sz w:val="22"/>
          <w:szCs w:val="22"/>
          <w:lang w:val="fr-FR"/>
        </w:rPr>
        <w:t xml:space="preserve"> </w:t>
      </w:r>
      <w:r w:rsidR="003D51F9" w:rsidRPr="0057205A">
        <w:rPr>
          <w:rFonts w:ascii="Calibri" w:hAnsi="Calibri" w:cs="Calibri"/>
          <w:color w:val="000000" w:themeColor="text1"/>
          <w:sz w:val="22"/>
          <w:szCs w:val="22"/>
          <w:lang w:val="fr-FR"/>
        </w:rPr>
        <w:t xml:space="preserve"> </w:t>
      </w:r>
    </w:p>
    <w:p w14:paraId="16C9C35F" w14:textId="77777777" w:rsidR="00783DB4" w:rsidRPr="0057205A" w:rsidRDefault="00783DB4" w:rsidP="0057205A">
      <w:pPr>
        <w:pStyle w:val="Body"/>
        <w:spacing w:before="100" w:after="100"/>
        <w:jc w:val="both"/>
        <w:rPr>
          <w:rFonts w:eastAsia="Times New Roman"/>
          <w:color w:val="000000" w:themeColor="text1"/>
        </w:rPr>
      </w:pPr>
    </w:p>
    <w:p w14:paraId="4A078762" w14:textId="75D7829B" w:rsidR="00434C2F" w:rsidRPr="0057205A" w:rsidRDefault="00ED5F28" w:rsidP="0057205A">
      <w:pPr>
        <w:pStyle w:val="Heading5"/>
        <w:jc w:val="both"/>
        <w:rPr>
          <w:rFonts w:ascii="Calibri" w:hAnsi="Calibri" w:cs="Calibri"/>
          <w:color w:val="000000" w:themeColor="text1"/>
          <w:u w:val="single"/>
          <w:lang w:val="fr-FR"/>
        </w:rPr>
      </w:pPr>
      <w:proofErr w:type="gramStart"/>
      <w:r w:rsidRPr="0057205A">
        <w:rPr>
          <w:rFonts w:ascii="Calibri" w:hAnsi="Calibri" w:cs="Calibri"/>
          <w:color w:val="000000" w:themeColor="text1"/>
          <w:u w:val="single"/>
          <w:lang w:val="fr-FR"/>
        </w:rPr>
        <w:t>i</w:t>
      </w:r>
      <w:r w:rsidR="00A04A85" w:rsidRPr="0057205A">
        <w:rPr>
          <w:rFonts w:ascii="Calibri" w:hAnsi="Calibri" w:cs="Calibri"/>
          <w:color w:val="000000" w:themeColor="text1"/>
          <w:u w:val="single"/>
          <w:lang w:val="fr-FR"/>
        </w:rPr>
        <w:t>i</w:t>
      </w:r>
      <w:proofErr w:type="gramEnd"/>
      <w:r w:rsidRPr="0057205A">
        <w:rPr>
          <w:rFonts w:ascii="Calibri" w:hAnsi="Calibri" w:cs="Calibri"/>
          <w:color w:val="000000" w:themeColor="text1"/>
          <w:u w:val="single"/>
          <w:lang w:val="fr-FR"/>
        </w:rPr>
        <w:t xml:space="preserve">- </w:t>
      </w:r>
      <w:r w:rsidR="00434C2F" w:rsidRPr="0057205A">
        <w:rPr>
          <w:rFonts w:ascii="Calibri" w:hAnsi="Calibri" w:cs="Calibri"/>
          <w:color w:val="000000" w:themeColor="text1"/>
          <w:u w:val="single"/>
          <w:lang w:val="fr-FR"/>
        </w:rPr>
        <w:t>P</w:t>
      </w:r>
      <w:r w:rsidR="00553132" w:rsidRPr="0057205A">
        <w:rPr>
          <w:rFonts w:ascii="Calibri" w:hAnsi="Calibri" w:cs="Calibri"/>
          <w:color w:val="000000" w:themeColor="text1"/>
          <w:u w:val="single"/>
          <w:lang w:val="fr-FR"/>
        </w:rPr>
        <w:t>rincipales R</w:t>
      </w:r>
      <w:r w:rsidRPr="0057205A">
        <w:rPr>
          <w:rFonts w:ascii="Calibri" w:hAnsi="Calibri" w:cs="Calibri"/>
          <w:color w:val="000000" w:themeColor="text1"/>
          <w:u w:val="single"/>
          <w:lang w:val="fr-FR"/>
        </w:rPr>
        <w:t>esponsabilités du C</w:t>
      </w:r>
      <w:r w:rsidR="00FD156B" w:rsidRPr="0057205A">
        <w:rPr>
          <w:rFonts w:ascii="Calibri" w:hAnsi="Calibri" w:cs="Calibri"/>
          <w:color w:val="000000" w:themeColor="text1"/>
          <w:u w:val="single"/>
          <w:lang w:val="fr-FR"/>
        </w:rPr>
        <w:t xml:space="preserve">orrespondant d’Hémovigilance de l’Établissement de </w:t>
      </w:r>
      <w:r w:rsidRPr="0057205A">
        <w:rPr>
          <w:rFonts w:ascii="Calibri" w:hAnsi="Calibri" w:cs="Calibri"/>
          <w:color w:val="000000" w:themeColor="text1"/>
          <w:u w:val="single"/>
          <w:lang w:val="fr-FR"/>
        </w:rPr>
        <w:t>S</w:t>
      </w:r>
      <w:r w:rsidR="00FD156B" w:rsidRPr="0057205A">
        <w:rPr>
          <w:rFonts w:ascii="Calibri" w:hAnsi="Calibri" w:cs="Calibri"/>
          <w:color w:val="000000" w:themeColor="text1"/>
          <w:u w:val="single"/>
          <w:lang w:val="fr-FR"/>
        </w:rPr>
        <w:t>ante</w:t>
      </w:r>
      <w:r w:rsidRPr="0057205A">
        <w:rPr>
          <w:rFonts w:ascii="Calibri" w:hAnsi="Calibri" w:cs="Calibri"/>
          <w:color w:val="000000" w:themeColor="text1"/>
          <w:u w:val="single"/>
          <w:lang w:val="fr-FR"/>
        </w:rPr>
        <w:t xml:space="preserve">: </w:t>
      </w:r>
    </w:p>
    <w:p w14:paraId="04933511" w14:textId="7EEFF966" w:rsidR="00E141D3" w:rsidRPr="0057205A" w:rsidRDefault="00E141D3" w:rsidP="0057205A">
      <w:pPr>
        <w:pStyle w:val="NormalWeb"/>
        <w:numPr>
          <w:ilvl w:val="0"/>
          <w:numId w:val="33"/>
        </w:numPr>
        <w:shd w:val="clear" w:color="auto" w:fill="FFFFFF"/>
        <w:spacing w:line="360" w:lineRule="auto"/>
        <w:rPr>
          <w:rFonts w:ascii="Calibri" w:hAnsi="Calibri" w:cs="Calibri"/>
          <w:color w:val="000000" w:themeColor="text1"/>
          <w:sz w:val="22"/>
          <w:szCs w:val="22"/>
          <w:bdr w:val="none" w:sz="0" w:space="0" w:color="auto"/>
          <w:lang w:val="fr-FR"/>
        </w:rPr>
      </w:pPr>
      <w:r w:rsidRPr="0057205A">
        <w:rPr>
          <w:rFonts w:ascii="Calibri" w:hAnsi="Calibri" w:cs="Calibri"/>
          <w:color w:val="000000" w:themeColor="text1"/>
          <w:sz w:val="22"/>
          <w:szCs w:val="22"/>
          <w:bdr w:val="none" w:sz="0" w:space="0" w:color="auto"/>
          <w:lang w:val="fr-FR"/>
        </w:rPr>
        <w:t xml:space="preserve">Entreprendre des investigations sur les incidents transfusionnels </w:t>
      </w:r>
    </w:p>
    <w:p w14:paraId="1E678BE5" w14:textId="61FD925A" w:rsidR="00E141D3" w:rsidRPr="0057205A" w:rsidRDefault="00E141D3" w:rsidP="0057205A">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rPr>
          <w:rFonts w:eastAsia="Times New Roman"/>
          <w:color w:val="000000" w:themeColor="text1"/>
          <w:bdr w:val="none" w:sz="0" w:space="0" w:color="auto"/>
          <w:lang w:val="fr-FR"/>
        </w:rPr>
      </w:pPr>
      <w:r w:rsidRPr="0057205A">
        <w:rPr>
          <w:rFonts w:eastAsia="Times New Roman"/>
          <w:color w:val="000000" w:themeColor="text1"/>
          <w:bdr w:val="none" w:sz="0" w:space="0" w:color="auto"/>
          <w:lang w:val="fr-FR"/>
        </w:rPr>
        <w:t xml:space="preserve">Le signalement des incidents </w:t>
      </w:r>
      <w:r w:rsidR="009A5A13" w:rsidRPr="0057205A">
        <w:rPr>
          <w:rFonts w:eastAsia="Times New Roman"/>
          <w:color w:val="000000" w:themeColor="text1"/>
          <w:bdr w:val="none" w:sz="0" w:space="0" w:color="auto"/>
          <w:lang w:val="fr-FR"/>
        </w:rPr>
        <w:t>liés</w:t>
      </w:r>
      <w:r w:rsidRPr="0057205A">
        <w:rPr>
          <w:rFonts w:eastAsia="Times New Roman"/>
          <w:color w:val="000000" w:themeColor="text1"/>
          <w:bdr w:val="none" w:sz="0" w:space="0" w:color="auto"/>
          <w:lang w:val="fr-FR"/>
        </w:rPr>
        <w:t xml:space="preserve"> à l’administration d’un PSL ou survenus lors du Don (cf. Annexe IV et V) </w:t>
      </w:r>
    </w:p>
    <w:p w14:paraId="056E84F2" w14:textId="76AB74D9" w:rsidR="00E141D3" w:rsidRPr="0057205A" w:rsidRDefault="00E141D3" w:rsidP="0057205A">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rPr>
          <w:rFonts w:eastAsia="Times New Roman"/>
          <w:color w:val="000000" w:themeColor="text1"/>
          <w:bdr w:val="none" w:sz="0" w:space="0" w:color="auto"/>
          <w:lang w:val="fr-FR"/>
        </w:rPr>
      </w:pPr>
      <w:r w:rsidRPr="0057205A">
        <w:rPr>
          <w:rFonts w:eastAsia="Times New Roman"/>
          <w:color w:val="000000" w:themeColor="text1"/>
          <w:bdr w:val="none" w:sz="0" w:space="0" w:color="auto"/>
          <w:lang w:val="fr-FR"/>
        </w:rPr>
        <w:t xml:space="preserve">Le recueil et la conservation des </w:t>
      </w:r>
      <w:r w:rsidR="009A5A13" w:rsidRPr="0057205A">
        <w:rPr>
          <w:rFonts w:eastAsia="Times New Roman"/>
          <w:color w:val="000000" w:themeColor="text1"/>
          <w:bdr w:val="none" w:sz="0" w:space="0" w:color="auto"/>
          <w:lang w:val="fr-FR"/>
        </w:rPr>
        <w:t>échanges</w:t>
      </w:r>
      <w:r w:rsidRPr="0057205A">
        <w:rPr>
          <w:rFonts w:eastAsia="Times New Roman"/>
          <w:color w:val="000000" w:themeColor="text1"/>
          <w:bdr w:val="none" w:sz="0" w:space="0" w:color="auto"/>
          <w:lang w:val="fr-FR"/>
        </w:rPr>
        <w:t xml:space="preserve"> et de la communication des informations d’HV </w:t>
      </w:r>
    </w:p>
    <w:p w14:paraId="7BEEE697" w14:textId="6844A658" w:rsidR="00E141D3" w:rsidRPr="0057205A" w:rsidRDefault="00E141D3" w:rsidP="0057205A">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rPr>
          <w:rFonts w:eastAsia="Times New Roman"/>
          <w:color w:val="000000" w:themeColor="text1"/>
          <w:bdr w:val="none" w:sz="0" w:space="0" w:color="auto"/>
          <w:lang w:val="fr-FR"/>
        </w:rPr>
      </w:pPr>
      <w:r w:rsidRPr="0057205A">
        <w:rPr>
          <w:rFonts w:eastAsia="Times New Roman"/>
          <w:color w:val="000000" w:themeColor="text1"/>
          <w:bdr w:val="none" w:sz="0" w:space="0" w:color="auto"/>
          <w:lang w:val="fr-FR"/>
        </w:rPr>
        <w:t xml:space="preserve">Le signalement au CTHV de toute </w:t>
      </w:r>
      <w:r w:rsidR="009A5A13" w:rsidRPr="0057205A">
        <w:rPr>
          <w:rFonts w:eastAsia="Times New Roman"/>
          <w:color w:val="000000" w:themeColor="text1"/>
          <w:bdr w:val="none" w:sz="0" w:space="0" w:color="auto"/>
          <w:lang w:val="fr-FR"/>
        </w:rPr>
        <w:t>difficulté</w:t>
      </w:r>
      <w:r w:rsidRPr="0057205A">
        <w:rPr>
          <w:rFonts w:eastAsia="Times New Roman"/>
          <w:color w:val="000000" w:themeColor="text1"/>
          <w:bdr w:val="none" w:sz="0" w:space="0" w:color="auto"/>
          <w:lang w:val="fr-FR"/>
        </w:rPr>
        <w:t xml:space="preserve"> susceptible de compromettre la </w:t>
      </w:r>
      <w:r w:rsidR="009A5A13" w:rsidRPr="0057205A">
        <w:rPr>
          <w:rFonts w:eastAsia="Times New Roman"/>
          <w:color w:val="000000" w:themeColor="text1"/>
          <w:bdr w:val="none" w:sz="0" w:space="0" w:color="auto"/>
          <w:lang w:val="fr-FR"/>
        </w:rPr>
        <w:t>sécurité</w:t>
      </w:r>
      <w:r w:rsidRPr="0057205A">
        <w:rPr>
          <w:rFonts w:eastAsia="Times New Roman"/>
          <w:color w:val="000000" w:themeColor="text1"/>
          <w:bdr w:val="none" w:sz="0" w:space="0" w:color="auto"/>
          <w:lang w:val="fr-FR"/>
        </w:rPr>
        <w:t xml:space="preserve"> transfusionnelle (ST) </w:t>
      </w:r>
    </w:p>
    <w:p w14:paraId="17113548" w14:textId="7B1C99DB" w:rsidR="00E141D3" w:rsidRPr="0057205A" w:rsidRDefault="00E141D3" w:rsidP="0057205A">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rPr>
          <w:rFonts w:eastAsia="Times New Roman"/>
          <w:color w:val="000000" w:themeColor="text1"/>
          <w:bdr w:val="none" w:sz="0" w:space="0" w:color="auto"/>
          <w:lang w:val="fr-FR"/>
        </w:rPr>
      </w:pPr>
      <w:r w:rsidRPr="0057205A">
        <w:rPr>
          <w:rFonts w:eastAsia="Times New Roman"/>
          <w:color w:val="000000" w:themeColor="text1"/>
          <w:bdr w:val="none" w:sz="0" w:space="0" w:color="auto"/>
          <w:lang w:val="fr-FR"/>
        </w:rPr>
        <w:t xml:space="preserve">Veiller </w:t>
      </w:r>
      <w:proofErr w:type="spellStart"/>
      <w:r w:rsidRPr="0057205A">
        <w:rPr>
          <w:rFonts w:eastAsia="Times New Roman"/>
          <w:color w:val="000000" w:themeColor="text1"/>
          <w:bdr w:val="none" w:sz="0" w:space="0" w:color="auto"/>
          <w:lang w:val="fr-FR"/>
        </w:rPr>
        <w:t>a</w:t>
      </w:r>
      <w:proofErr w:type="spellEnd"/>
      <w:r w:rsidRPr="0057205A">
        <w:rPr>
          <w:rFonts w:eastAsia="Times New Roman"/>
          <w:color w:val="000000" w:themeColor="text1"/>
          <w:bdr w:val="none" w:sz="0" w:space="0" w:color="auto"/>
          <w:lang w:val="fr-FR"/>
        </w:rPr>
        <w:t xml:space="preserve">̀ la mise en œuvre des programmes de formation </w:t>
      </w:r>
    </w:p>
    <w:p w14:paraId="0A35B98A" w14:textId="0B6B8295" w:rsidR="00E141D3" w:rsidRPr="0057205A" w:rsidRDefault="00E141D3" w:rsidP="0057205A">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rPr>
          <w:rFonts w:eastAsia="Times New Roman"/>
          <w:color w:val="000000" w:themeColor="text1"/>
          <w:bdr w:val="none" w:sz="0" w:space="0" w:color="auto"/>
          <w:lang w:val="fr-FR"/>
        </w:rPr>
      </w:pPr>
      <w:r w:rsidRPr="0057205A">
        <w:rPr>
          <w:rFonts w:eastAsia="Times New Roman"/>
          <w:color w:val="000000" w:themeColor="text1"/>
          <w:bdr w:val="none" w:sz="0" w:space="0" w:color="auto"/>
          <w:lang w:val="fr-FR"/>
        </w:rPr>
        <w:t xml:space="preserve">La Collaboration avec le CTS Distributeur (CTSD) au conseil transfusionnel des prescripteurs et des personnels </w:t>
      </w:r>
      <w:r w:rsidR="009A5A13" w:rsidRPr="0057205A">
        <w:rPr>
          <w:rFonts w:eastAsia="Times New Roman"/>
          <w:color w:val="000000" w:themeColor="text1"/>
          <w:bdr w:val="none" w:sz="0" w:space="0" w:color="auto"/>
          <w:lang w:val="fr-FR"/>
        </w:rPr>
        <w:t>paramédicaux</w:t>
      </w:r>
      <w:r w:rsidRPr="0057205A">
        <w:rPr>
          <w:rFonts w:eastAsia="Times New Roman"/>
          <w:color w:val="000000" w:themeColor="text1"/>
          <w:bdr w:val="none" w:sz="0" w:space="0" w:color="auto"/>
          <w:lang w:val="fr-FR"/>
        </w:rPr>
        <w:t xml:space="preserve"> </w:t>
      </w:r>
    </w:p>
    <w:p w14:paraId="4A1BA751" w14:textId="1C501DAD" w:rsidR="00E141D3" w:rsidRPr="0057205A" w:rsidRDefault="00E141D3" w:rsidP="0057205A">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rPr>
          <w:rFonts w:eastAsia="Times New Roman"/>
          <w:color w:val="000000" w:themeColor="text1"/>
          <w:bdr w:val="none" w:sz="0" w:space="0" w:color="auto"/>
          <w:lang w:val="fr-FR"/>
        </w:rPr>
      </w:pPr>
      <w:r w:rsidRPr="0057205A">
        <w:rPr>
          <w:rFonts w:eastAsia="Times New Roman"/>
          <w:color w:val="000000" w:themeColor="text1"/>
          <w:bdr w:val="none" w:sz="0" w:space="0" w:color="auto"/>
          <w:lang w:val="fr-FR"/>
        </w:rPr>
        <w:t>Participer à l</w:t>
      </w:r>
      <w:r w:rsidR="00CD64CD" w:rsidRPr="0057205A">
        <w:rPr>
          <w:rFonts w:eastAsia="Times New Roman"/>
          <w:color w:val="000000" w:themeColor="text1"/>
          <w:bdr w:val="none" w:sz="0" w:space="0" w:color="auto"/>
          <w:lang w:val="fr-FR"/>
        </w:rPr>
        <w:t>a rédaction</w:t>
      </w:r>
      <w:r w:rsidRPr="0057205A">
        <w:rPr>
          <w:rFonts w:eastAsia="Times New Roman"/>
          <w:color w:val="000000" w:themeColor="text1"/>
          <w:bdr w:val="none" w:sz="0" w:space="0" w:color="auto"/>
          <w:lang w:val="fr-FR"/>
        </w:rPr>
        <w:t xml:space="preserve"> des protocoles transfusionnels </w:t>
      </w:r>
    </w:p>
    <w:p w14:paraId="4CFDC994" w14:textId="77777777" w:rsidR="000430F1" w:rsidRPr="0057205A" w:rsidRDefault="000430F1" w:rsidP="0057205A">
      <w:pPr>
        <w:pStyle w:val="Body"/>
        <w:spacing w:before="100" w:after="100"/>
        <w:jc w:val="both"/>
        <w:rPr>
          <w:rFonts w:eastAsia="Times New Roman"/>
          <w:color w:val="000000" w:themeColor="text1"/>
        </w:rPr>
      </w:pPr>
    </w:p>
    <w:p w14:paraId="71E5A419" w14:textId="1EC83E4F" w:rsidR="00F75374" w:rsidRPr="0057205A" w:rsidRDefault="00B254A3" w:rsidP="0057205A">
      <w:pPr>
        <w:pStyle w:val="NoSpacing"/>
        <w:spacing w:line="276" w:lineRule="auto"/>
        <w:rPr>
          <w:rFonts w:ascii="Calibri" w:hAnsi="Calibri" w:cs="Calibri"/>
          <w:b/>
          <w:bCs/>
          <w:i/>
          <w:iCs/>
          <w:sz w:val="22"/>
          <w:szCs w:val="22"/>
          <w:lang w:val="fr-FR"/>
        </w:rPr>
      </w:pPr>
      <w:r w:rsidRPr="0057205A">
        <w:rPr>
          <w:rFonts w:ascii="Calibri" w:hAnsi="Calibri" w:cs="Calibri"/>
          <w:b/>
          <w:bCs/>
          <w:i/>
          <w:iCs/>
          <w:sz w:val="22"/>
          <w:szCs w:val="22"/>
          <w:lang w:val="fr-FR"/>
        </w:rPr>
        <w:t>V.</w:t>
      </w:r>
      <w:r w:rsidR="00ED5F28" w:rsidRPr="0057205A">
        <w:rPr>
          <w:rFonts w:ascii="Calibri" w:hAnsi="Calibri" w:cs="Calibri"/>
          <w:b/>
          <w:bCs/>
          <w:i/>
          <w:iCs/>
          <w:sz w:val="22"/>
          <w:szCs w:val="22"/>
          <w:lang w:val="fr-FR"/>
        </w:rPr>
        <w:t>2.2</w:t>
      </w:r>
      <w:r w:rsidR="00DF0436" w:rsidRPr="0057205A">
        <w:rPr>
          <w:rFonts w:ascii="Calibri" w:hAnsi="Calibri" w:cs="Calibri"/>
          <w:b/>
          <w:bCs/>
          <w:i/>
          <w:iCs/>
          <w:sz w:val="22"/>
          <w:szCs w:val="22"/>
          <w:lang w:val="fr-FR"/>
        </w:rPr>
        <w:t>-</w:t>
      </w:r>
      <w:r w:rsidR="00ED5F28" w:rsidRPr="0057205A">
        <w:rPr>
          <w:rFonts w:ascii="Calibri" w:hAnsi="Calibri" w:cs="Calibri"/>
          <w:b/>
          <w:bCs/>
          <w:i/>
          <w:iCs/>
          <w:sz w:val="22"/>
          <w:szCs w:val="22"/>
          <w:lang w:val="fr-FR"/>
        </w:rPr>
        <w:t xml:space="preserve"> </w:t>
      </w:r>
      <w:r w:rsidR="00434C2F" w:rsidRPr="0057205A">
        <w:rPr>
          <w:rFonts w:ascii="Calibri" w:hAnsi="Calibri" w:cs="Calibri"/>
          <w:b/>
          <w:bCs/>
          <w:i/>
          <w:iCs/>
          <w:sz w:val="22"/>
          <w:szCs w:val="22"/>
          <w:lang w:val="fr-FR"/>
        </w:rPr>
        <w:t>C</w:t>
      </w:r>
      <w:r w:rsidR="00ED5F28" w:rsidRPr="0057205A">
        <w:rPr>
          <w:rFonts w:ascii="Calibri" w:hAnsi="Calibri" w:cs="Calibri"/>
          <w:b/>
          <w:bCs/>
          <w:i/>
          <w:iCs/>
          <w:sz w:val="22"/>
          <w:szCs w:val="22"/>
          <w:lang w:val="fr-FR"/>
        </w:rPr>
        <w:t xml:space="preserve">omité </w:t>
      </w:r>
      <w:r w:rsidRPr="0057205A">
        <w:rPr>
          <w:rFonts w:ascii="Calibri" w:hAnsi="Calibri" w:cs="Calibri"/>
          <w:b/>
          <w:bCs/>
          <w:i/>
          <w:iCs/>
          <w:sz w:val="22"/>
          <w:szCs w:val="22"/>
          <w:lang w:val="fr-FR"/>
        </w:rPr>
        <w:t xml:space="preserve">de </w:t>
      </w:r>
      <w:r w:rsidR="00434C2F" w:rsidRPr="0057205A">
        <w:rPr>
          <w:rFonts w:ascii="Calibri" w:hAnsi="Calibri" w:cs="Calibri"/>
          <w:b/>
          <w:bCs/>
          <w:i/>
          <w:iCs/>
          <w:sz w:val="22"/>
          <w:szCs w:val="22"/>
          <w:lang w:val="fr-FR"/>
        </w:rPr>
        <w:t>s</w:t>
      </w:r>
      <w:r w:rsidR="00ED5F28" w:rsidRPr="0057205A">
        <w:rPr>
          <w:rFonts w:ascii="Calibri" w:hAnsi="Calibri" w:cs="Calibri"/>
          <w:b/>
          <w:bCs/>
          <w:i/>
          <w:iCs/>
          <w:sz w:val="22"/>
          <w:szCs w:val="22"/>
          <w:lang w:val="fr-FR"/>
        </w:rPr>
        <w:t xml:space="preserve">écurité </w:t>
      </w:r>
      <w:r w:rsidR="00434C2F" w:rsidRPr="0057205A">
        <w:rPr>
          <w:rFonts w:ascii="Calibri" w:hAnsi="Calibri" w:cs="Calibri"/>
          <w:b/>
          <w:bCs/>
          <w:i/>
          <w:iCs/>
          <w:sz w:val="22"/>
          <w:szCs w:val="22"/>
          <w:lang w:val="fr-FR"/>
        </w:rPr>
        <w:t>t</w:t>
      </w:r>
      <w:r w:rsidRPr="0057205A">
        <w:rPr>
          <w:rFonts w:ascii="Calibri" w:hAnsi="Calibri" w:cs="Calibri"/>
          <w:b/>
          <w:bCs/>
          <w:i/>
          <w:iCs/>
          <w:sz w:val="22"/>
          <w:szCs w:val="22"/>
          <w:lang w:val="fr-FR"/>
        </w:rPr>
        <w:t>ransfusionnelle et d'H</w:t>
      </w:r>
      <w:r w:rsidR="00E0560B" w:rsidRPr="0057205A">
        <w:rPr>
          <w:rFonts w:ascii="Calibri" w:hAnsi="Calibri" w:cs="Calibri"/>
          <w:b/>
          <w:bCs/>
          <w:i/>
          <w:iCs/>
          <w:sz w:val="22"/>
          <w:szCs w:val="22"/>
          <w:lang w:val="fr-FR"/>
        </w:rPr>
        <w:t>émovigilance ou CST</w:t>
      </w:r>
      <w:r w:rsidR="00A04A85" w:rsidRPr="0057205A">
        <w:rPr>
          <w:rFonts w:ascii="Calibri" w:hAnsi="Calibri" w:cs="Calibri"/>
          <w:b/>
          <w:bCs/>
          <w:i/>
          <w:iCs/>
          <w:sz w:val="22"/>
          <w:szCs w:val="22"/>
          <w:lang w:val="fr-FR"/>
        </w:rPr>
        <w:t>H</w:t>
      </w:r>
      <w:r w:rsidR="00E0560B" w:rsidRPr="0057205A">
        <w:rPr>
          <w:rFonts w:ascii="Calibri" w:hAnsi="Calibri" w:cs="Calibri"/>
          <w:b/>
          <w:bCs/>
          <w:i/>
          <w:iCs/>
          <w:sz w:val="22"/>
          <w:szCs w:val="22"/>
          <w:lang w:val="fr-FR"/>
        </w:rPr>
        <w:t xml:space="preserve"> (cf. Annexe III)</w:t>
      </w:r>
    </w:p>
    <w:p w14:paraId="3E8FF8C9" w14:textId="030B1B1E" w:rsidR="00434C2F" w:rsidRPr="0057205A" w:rsidRDefault="008E650C" w:rsidP="0057205A">
      <w:pPr>
        <w:pStyle w:val="Body"/>
        <w:spacing w:before="100" w:after="100"/>
        <w:jc w:val="both"/>
        <w:rPr>
          <w:color w:val="000000" w:themeColor="text1"/>
          <w:u w:val="single"/>
        </w:rPr>
      </w:pPr>
      <w:proofErr w:type="gramStart"/>
      <w:r w:rsidRPr="0057205A">
        <w:rPr>
          <w:color w:val="000000" w:themeColor="text1"/>
          <w:u w:val="single"/>
        </w:rPr>
        <w:t>i</w:t>
      </w:r>
      <w:proofErr w:type="gramEnd"/>
      <w:r w:rsidR="00ED5F28" w:rsidRPr="0057205A">
        <w:rPr>
          <w:color w:val="000000" w:themeColor="text1"/>
          <w:u w:val="single"/>
        </w:rPr>
        <w:t xml:space="preserve">- </w:t>
      </w:r>
      <w:r w:rsidR="00434C2F" w:rsidRPr="0057205A">
        <w:rPr>
          <w:color w:val="000000" w:themeColor="text1"/>
          <w:u w:val="single"/>
        </w:rPr>
        <w:t>M</w:t>
      </w:r>
      <w:r w:rsidR="00B254A3" w:rsidRPr="0057205A">
        <w:rPr>
          <w:color w:val="000000" w:themeColor="text1"/>
          <w:u w:val="single"/>
        </w:rPr>
        <w:t>ise en place</w:t>
      </w:r>
      <w:r w:rsidR="00ED5F28" w:rsidRPr="0057205A">
        <w:rPr>
          <w:color w:val="000000" w:themeColor="text1"/>
          <w:u w:val="single"/>
        </w:rPr>
        <w:t xml:space="preserve"> du CSTH</w:t>
      </w:r>
      <w:r w:rsidR="00A84A18" w:rsidRPr="0057205A">
        <w:rPr>
          <w:color w:val="000000" w:themeColor="text1"/>
          <w:u w:val="single"/>
        </w:rPr>
        <w:t xml:space="preserve"> </w:t>
      </w:r>
      <w:r w:rsidR="00ED5F28" w:rsidRPr="0057205A">
        <w:rPr>
          <w:color w:val="000000" w:themeColor="text1"/>
          <w:u w:val="single"/>
        </w:rPr>
        <w:t>:</w:t>
      </w:r>
    </w:p>
    <w:p w14:paraId="3448132F" w14:textId="77777777" w:rsidR="000430F1" w:rsidRPr="0057205A" w:rsidRDefault="00ED5F28" w:rsidP="0057205A">
      <w:pPr>
        <w:pStyle w:val="Body"/>
        <w:spacing w:before="100" w:after="100"/>
        <w:jc w:val="both"/>
        <w:rPr>
          <w:color w:val="000000" w:themeColor="text1"/>
        </w:rPr>
      </w:pPr>
      <w:r w:rsidRPr="0057205A">
        <w:rPr>
          <w:color w:val="000000" w:themeColor="text1"/>
        </w:rPr>
        <w:t xml:space="preserve">Les </w:t>
      </w:r>
      <w:r w:rsidR="001363F4" w:rsidRPr="0057205A">
        <w:rPr>
          <w:color w:val="000000" w:themeColor="text1"/>
        </w:rPr>
        <w:t>Établissements de Santé</w:t>
      </w:r>
      <w:r w:rsidRPr="0057205A">
        <w:rPr>
          <w:color w:val="000000" w:themeColor="text1"/>
        </w:rPr>
        <w:t xml:space="preserve"> sont tenu</w:t>
      </w:r>
      <w:r w:rsidR="001B4C2F" w:rsidRPr="0057205A">
        <w:rPr>
          <w:color w:val="000000" w:themeColor="text1"/>
        </w:rPr>
        <w:t>s</w:t>
      </w:r>
      <w:r w:rsidRPr="0057205A">
        <w:rPr>
          <w:color w:val="000000" w:themeColor="text1"/>
        </w:rPr>
        <w:t xml:space="preserve"> responsable</w:t>
      </w:r>
      <w:r w:rsidR="001B4C2F" w:rsidRPr="0057205A">
        <w:rPr>
          <w:color w:val="000000" w:themeColor="text1"/>
        </w:rPr>
        <w:t>s</w:t>
      </w:r>
      <w:r w:rsidRPr="0057205A">
        <w:rPr>
          <w:color w:val="000000" w:themeColor="text1"/>
        </w:rPr>
        <w:t xml:space="preserve"> d'établir ce </w:t>
      </w:r>
      <w:r w:rsidR="001B4C2F" w:rsidRPr="0057205A">
        <w:rPr>
          <w:color w:val="000000" w:themeColor="text1"/>
        </w:rPr>
        <w:t>comité</w:t>
      </w:r>
      <w:r w:rsidRPr="0057205A">
        <w:rPr>
          <w:color w:val="000000" w:themeColor="text1"/>
        </w:rPr>
        <w:t xml:space="preserve"> et de lui </w:t>
      </w:r>
      <w:r w:rsidR="00E7014B" w:rsidRPr="0057205A">
        <w:rPr>
          <w:color w:val="000000" w:themeColor="text1"/>
        </w:rPr>
        <w:t xml:space="preserve">définir </w:t>
      </w:r>
      <w:r w:rsidRPr="0057205A">
        <w:rPr>
          <w:color w:val="000000" w:themeColor="text1"/>
        </w:rPr>
        <w:t>son rôle au sein de l'établissement.</w:t>
      </w:r>
    </w:p>
    <w:p w14:paraId="4C14B596" w14:textId="77777777" w:rsidR="00A04A85" w:rsidRPr="0057205A" w:rsidRDefault="00A04A85" w:rsidP="0057205A">
      <w:pPr>
        <w:spacing w:before="100" w:after="100" w:line="276" w:lineRule="auto"/>
        <w:jc w:val="both"/>
        <w:outlineLvl w:val="4"/>
        <w:rPr>
          <w:rFonts w:ascii="Calibri" w:hAnsi="Calibri" w:cs="Calibri"/>
          <w:color w:val="000000" w:themeColor="text1"/>
          <w:sz w:val="22"/>
          <w:szCs w:val="22"/>
          <w:u w:val="single"/>
          <w:lang w:val="fr-FR"/>
        </w:rPr>
      </w:pPr>
    </w:p>
    <w:p w14:paraId="4453262F" w14:textId="5C1C0D23" w:rsidR="00434C2F" w:rsidRPr="0057205A" w:rsidRDefault="00A04A85" w:rsidP="0057205A">
      <w:pPr>
        <w:spacing w:before="100" w:after="100" w:line="276" w:lineRule="auto"/>
        <w:jc w:val="both"/>
        <w:outlineLvl w:val="4"/>
        <w:rPr>
          <w:rFonts w:ascii="Calibri" w:hAnsi="Calibri" w:cs="Calibri"/>
          <w:color w:val="000000" w:themeColor="text1"/>
          <w:sz w:val="22"/>
          <w:szCs w:val="22"/>
          <w:u w:val="single"/>
          <w:lang w:val="fr-FR"/>
        </w:rPr>
      </w:pPr>
      <w:proofErr w:type="gramStart"/>
      <w:r w:rsidRPr="0057205A">
        <w:rPr>
          <w:rFonts w:ascii="Calibri" w:hAnsi="Calibri" w:cs="Calibri"/>
          <w:color w:val="000000" w:themeColor="text1"/>
          <w:sz w:val="22"/>
          <w:szCs w:val="22"/>
          <w:u w:val="single"/>
          <w:lang w:val="fr-FR"/>
        </w:rPr>
        <w:t>i</w:t>
      </w:r>
      <w:r w:rsidR="00CF01BE" w:rsidRPr="0057205A">
        <w:rPr>
          <w:rFonts w:ascii="Calibri" w:hAnsi="Calibri" w:cs="Calibri"/>
          <w:color w:val="000000" w:themeColor="text1"/>
          <w:sz w:val="22"/>
          <w:szCs w:val="22"/>
          <w:u w:val="single"/>
          <w:lang w:val="fr-FR"/>
        </w:rPr>
        <w:t>i</w:t>
      </w:r>
      <w:proofErr w:type="gramEnd"/>
      <w:r w:rsidRPr="0057205A">
        <w:rPr>
          <w:rFonts w:ascii="Calibri" w:hAnsi="Calibri" w:cs="Calibri"/>
          <w:color w:val="000000" w:themeColor="text1"/>
          <w:sz w:val="22"/>
          <w:szCs w:val="22"/>
          <w:u w:val="single"/>
          <w:lang w:val="fr-FR"/>
        </w:rPr>
        <w:t xml:space="preserve">- Qualification et </w:t>
      </w:r>
      <w:r w:rsidR="00434C2F" w:rsidRPr="0057205A">
        <w:rPr>
          <w:rFonts w:ascii="Calibri" w:hAnsi="Calibri" w:cs="Calibri"/>
          <w:color w:val="000000" w:themeColor="text1"/>
          <w:sz w:val="22"/>
          <w:szCs w:val="22"/>
          <w:u w:val="single"/>
          <w:lang w:val="fr-FR"/>
        </w:rPr>
        <w:t>n</w:t>
      </w:r>
      <w:r w:rsidRPr="0057205A">
        <w:rPr>
          <w:rFonts w:ascii="Calibri" w:hAnsi="Calibri" w:cs="Calibri"/>
          <w:color w:val="000000" w:themeColor="text1"/>
          <w:sz w:val="22"/>
          <w:szCs w:val="22"/>
          <w:u w:val="single"/>
          <w:lang w:val="fr-FR"/>
        </w:rPr>
        <w:t xml:space="preserve">omination du CSTH : </w:t>
      </w:r>
    </w:p>
    <w:p w14:paraId="44ECAABF" w14:textId="77777777" w:rsidR="00A04A85" w:rsidRPr="0057205A" w:rsidRDefault="00A04A85" w:rsidP="0057205A">
      <w:pPr>
        <w:pStyle w:val="NoSpacing"/>
        <w:jc w:val="both"/>
        <w:rPr>
          <w:rFonts w:ascii="Calibri" w:hAnsi="Calibri" w:cs="Calibri"/>
          <w:sz w:val="22"/>
          <w:szCs w:val="22"/>
          <w:lang w:val="fr-FR"/>
        </w:rPr>
      </w:pPr>
      <w:r w:rsidRPr="0057205A">
        <w:rPr>
          <w:rFonts w:ascii="Calibri" w:hAnsi="Calibri" w:cs="Calibri"/>
          <w:sz w:val="22"/>
          <w:szCs w:val="22"/>
          <w:lang w:val="fr-FR"/>
        </w:rPr>
        <w:t xml:space="preserve">Le </w:t>
      </w:r>
      <w:r w:rsidR="00CF01BE" w:rsidRPr="0057205A">
        <w:rPr>
          <w:rFonts w:ascii="Calibri" w:hAnsi="Calibri" w:cs="Calibri"/>
          <w:sz w:val="22"/>
          <w:szCs w:val="22"/>
          <w:lang w:val="fr-FR"/>
        </w:rPr>
        <w:t>comité</w:t>
      </w:r>
      <w:r w:rsidRPr="0057205A">
        <w:rPr>
          <w:rFonts w:ascii="Calibri" w:hAnsi="Calibri" w:cs="Calibri"/>
          <w:sz w:val="22"/>
          <w:szCs w:val="22"/>
          <w:lang w:val="fr-FR"/>
        </w:rPr>
        <w:t xml:space="preserve"> comprend des membres impliqu</w:t>
      </w:r>
      <w:r w:rsidR="00CF01BE" w:rsidRPr="0057205A">
        <w:rPr>
          <w:rFonts w:ascii="Calibri" w:hAnsi="Calibri" w:cs="Calibri"/>
          <w:sz w:val="22"/>
          <w:szCs w:val="22"/>
          <w:lang w:val="fr-FR"/>
        </w:rPr>
        <w:t>é</w:t>
      </w:r>
      <w:r w:rsidRPr="0057205A">
        <w:rPr>
          <w:rFonts w:ascii="Calibri" w:hAnsi="Calibri" w:cs="Calibri"/>
          <w:sz w:val="22"/>
          <w:szCs w:val="22"/>
          <w:lang w:val="fr-FR"/>
        </w:rPr>
        <w:t xml:space="preserve">s dans les </w:t>
      </w:r>
      <w:r w:rsidR="00CF01BE" w:rsidRPr="0057205A">
        <w:rPr>
          <w:rFonts w:ascii="Calibri" w:hAnsi="Calibri" w:cs="Calibri"/>
          <w:sz w:val="22"/>
          <w:szCs w:val="22"/>
          <w:lang w:val="fr-FR"/>
        </w:rPr>
        <w:t>activités</w:t>
      </w:r>
      <w:r w:rsidRPr="0057205A">
        <w:rPr>
          <w:rFonts w:ascii="Calibri" w:hAnsi="Calibri" w:cs="Calibri"/>
          <w:sz w:val="22"/>
          <w:szCs w:val="22"/>
          <w:lang w:val="fr-FR"/>
        </w:rPr>
        <w:t xml:space="preserve"> transfusionnelles</w:t>
      </w:r>
      <w:r w:rsidR="00CF01BE" w:rsidRPr="0057205A">
        <w:rPr>
          <w:rFonts w:ascii="Calibri" w:hAnsi="Calibri" w:cs="Calibri"/>
          <w:sz w:val="22"/>
          <w:szCs w:val="22"/>
          <w:lang w:val="fr-FR"/>
        </w:rPr>
        <w:t xml:space="preserve"> ayant si possible des compétences dans ce domaine</w:t>
      </w:r>
      <w:r w:rsidR="00E501F7" w:rsidRPr="0057205A">
        <w:rPr>
          <w:rFonts w:ascii="Calibri" w:hAnsi="Calibri" w:cs="Calibri"/>
          <w:sz w:val="22"/>
          <w:szCs w:val="22"/>
          <w:lang w:val="fr-FR"/>
        </w:rPr>
        <w:t xml:space="preserve"> (le comité peut être le même que le comité de transfusion de l</w:t>
      </w:r>
      <w:r w:rsidR="000734F5" w:rsidRPr="0057205A">
        <w:rPr>
          <w:rFonts w:ascii="Calibri" w:hAnsi="Calibri" w:cs="Calibri"/>
          <w:sz w:val="22"/>
          <w:szCs w:val="22"/>
          <w:lang w:val="fr-FR"/>
        </w:rPr>
        <w:t>’établissement</w:t>
      </w:r>
      <w:r w:rsidR="00E501F7" w:rsidRPr="0057205A">
        <w:rPr>
          <w:rFonts w:ascii="Calibri" w:hAnsi="Calibri" w:cs="Calibri"/>
          <w:sz w:val="22"/>
          <w:szCs w:val="22"/>
          <w:lang w:val="fr-FR"/>
        </w:rPr>
        <w:t xml:space="preserve"> de sante)</w:t>
      </w:r>
      <w:r w:rsidR="00CF01BE" w:rsidRPr="0057205A">
        <w:rPr>
          <w:rFonts w:ascii="Calibri" w:hAnsi="Calibri" w:cs="Calibri"/>
          <w:sz w:val="22"/>
          <w:szCs w:val="22"/>
          <w:lang w:val="fr-FR"/>
        </w:rPr>
        <w:t>.</w:t>
      </w:r>
      <w:r w:rsidRPr="0057205A">
        <w:rPr>
          <w:rFonts w:ascii="Calibri" w:hAnsi="Calibri" w:cs="Calibri"/>
          <w:sz w:val="22"/>
          <w:szCs w:val="22"/>
          <w:lang w:val="fr-FR"/>
        </w:rPr>
        <w:t xml:space="preserve"> </w:t>
      </w:r>
      <w:r w:rsidR="00CF01BE" w:rsidRPr="0057205A">
        <w:rPr>
          <w:rFonts w:ascii="Calibri" w:hAnsi="Calibri" w:cs="Calibri"/>
          <w:sz w:val="22"/>
          <w:szCs w:val="22"/>
          <w:lang w:val="fr-FR"/>
        </w:rPr>
        <w:t>Les membres sont nommés par la Direction de l’établissement.</w:t>
      </w:r>
    </w:p>
    <w:p w14:paraId="465F3AC7" w14:textId="77777777" w:rsidR="008E650C" w:rsidRPr="0057205A" w:rsidRDefault="008E650C" w:rsidP="0057205A">
      <w:pPr>
        <w:pStyle w:val="Body"/>
        <w:spacing w:before="100" w:after="100"/>
        <w:ind w:left="270"/>
        <w:jc w:val="both"/>
        <w:rPr>
          <w:rFonts w:eastAsia="Times New Roman"/>
          <w:color w:val="000000" w:themeColor="text1"/>
        </w:rPr>
      </w:pPr>
    </w:p>
    <w:p w14:paraId="21F36412" w14:textId="3B30DD3F" w:rsidR="00434C2F" w:rsidRPr="0057205A" w:rsidRDefault="008E650C" w:rsidP="0057205A">
      <w:pPr>
        <w:pStyle w:val="Body"/>
        <w:spacing w:before="100" w:after="100"/>
        <w:jc w:val="both"/>
        <w:rPr>
          <w:rFonts w:eastAsia="Times New Roman Bold"/>
          <w:color w:val="000000" w:themeColor="text1"/>
          <w:u w:val="single"/>
        </w:rPr>
      </w:pPr>
      <w:proofErr w:type="gramStart"/>
      <w:r w:rsidRPr="0057205A">
        <w:rPr>
          <w:color w:val="000000" w:themeColor="text1"/>
          <w:u w:val="single"/>
        </w:rPr>
        <w:t>ii</w:t>
      </w:r>
      <w:r w:rsidR="00CF01BE" w:rsidRPr="0057205A">
        <w:rPr>
          <w:color w:val="000000" w:themeColor="text1"/>
          <w:u w:val="single"/>
        </w:rPr>
        <w:t>i</w:t>
      </w:r>
      <w:proofErr w:type="gramEnd"/>
      <w:r w:rsidR="001B4C2F" w:rsidRPr="0057205A">
        <w:rPr>
          <w:color w:val="000000" w:themeColor="text1"/>
          <w:u w:val="single"/>
        </w:rPr>
        <w:t xml:space="preserve">- </w:t>
      </w:r>
      <w:r w:rsidR="00434C2F" w:rsidRPr="0057205A">
        <w:rPr>
          <w:color w:val="000000" w:themeColor="text1"/>
          <w:u w:val="single"/>
        </w:rPr>
        <w:t>R</w:t>
      </w:r>
      <w:r w:rsidR="00ED5F28" w:rsidRPr="0057205A">
        <w:rPr>
          <w:color w:val="000000" w:themeColor="text1"/>
          <w:u w:val="single"/>
        </w:rPr>
        <w:t>ôle du CSTH</w:t>
      </w:r>
      <w:r w:rsidR="00434C2F" w:rsidRPr="0057205A">
        <w:rPr>
          <w:color w:val="000000" w:themeColor="text1"/>
          <w:u w:val="single"/>
        </w:rPr>
        <w:t xml:space="preserve"> </w:t>
      </w:r>
      <w:r w:rsidR="00ED5F28" w:rsidRPr="0057205A">
        <w:rPr>
          <w:color w:val="000000" w:themeColor="text1"/>
          <w:u w:val="single"/>
        </w:rPr>
        <w:t>:</w:t>
      </w:r>
    </w:p>
    <w:p w14:paraId="1152D285" w14:textId="77777777" w:rsidR="000430F1" w:rsidRPr="0057205A" w:rsidRDefault="00ED5F28" w:rsidP="0057205A">
      <w:pPr>
        <w:pStyle w:val="Body"/>
        <w:spacing w:before="100" w:after="100"/>
        <w:jc w:val="both"/>
        <w:rPr>
          <w:rFonts w:eastAsia="Times New Roman"/>
          <w:color w:val="000000" w:themeColor="text1"/>
        </w:rPr>
      </w:pPr>
      <w:r w:rsidRPr="0057205A">
        <w:rPr>
          <w:color w:val="000000" w:themeColor="text1"/>
        </w:rPr>
        <w:t xml:space="preserve">La Mission du </w:t>
      </w:r>
      <w:r w:rsidR="001B4C2F" w:rsidRPr="0057205A">
        <w:rPr>
          <w:color w:val="000000" w:themeColor="text1"/>
        </w:rPr>
        <w:t>comité</w:t>
      </w:r>
      <w:r w:rsidRPr="0057205A">
        <w:rPr>
          <w:color w:val="000000" w:themeColor="text1"/>
        </w:rPr>
        <w:t xml:space="preserve"> est de définir et de développer la politique de </w:t>
      </w:r>
      <w:r w:rsidR="000734F5" w:rsidRPr="0057205A">
        <w:rPr>
          <w:color w:val="000000" w:themeColor="text1"/>
        </w:rPr>
        <w:t>sécurité transfusionnelle</w:t>
      </w:r>
      <w:r w:rsidRPr="0057205A">
        <w:rPr>
          <w:color w:val="000000" w:themeColor="text1"/>
        </w:rPr>
        <w:t xml:space="preserve"> au sein de l'établissement conform</w:t>
      </w:r>
      <w:r w:rsidR="00A84A18" w:rsidRPr="0057205A">
        <w:rPr>
          <w:color w:val="000000" w:themeColor="text1"/>
        </w:rPr>
        <w:t>ément</w:t>
      </w:r>
      <w:r w:rsidRPr="0057205A">
        <w:rPr>
          <w:color w:val="000000" w:themeColor="text1"/>
        </w:rPr>
        <w:t xml:space="preserve"> au</w:t>
      </w:r>
      <w:r w:rsidR="001B4C2F" w:rsidRPr="0057205A">
        <w:rPr>
          <w:color w:val="000000" w:themeColor="text1"/>
        </w:rPr>
        <w:t>x</w:t>
      </w:r>
      <w:r w:rsidRPr="0057205A">
        <w:rPr>
          <w:color w:val="000000" w:themeColor="text1"/>
        </w:rPr>
        <w:t xml:space="preserve"> </w:t>
      </w:r>
      <w:r w:rsidR="001B4C2F" w:rsidRPr="0057205A">
        <w:rPr>
          <w:color w:val="000000" w:themeColor="text1"/>
        </w:rPr>
        <w:t>normes</w:t>
      </w:r>
      <w:r w:rsidRPr="0057205A">
        <w:rPr>
          <w:color w:val="000000" w:themeColor="text1"/>
        </w:rPr>
        <w:t xml:space="preserve"> </w:t>
      </w:r>
      <w:r w:rsidR="001B4C2F" w:rsidRPr="0057205A">
        <w:rPr>
          <w:color w:val="000000" w:themeColor="text1"/>
        </w:rPr>
        <w:t>publiées</w:t>
      </w:r>
      <w:r w:rsidR="00237528" w:rsidRPr="0057205A">
        <w:rPr>
          <w:color w:val="000000" w:themeColor="text1"/>
        </w:rPr>
        <w:t xml:space="preserve"> par le </w:t>
      </w:r>
      <w:r w:rsidR="00FD7E46" w:rsidRPr="0057205A">
        <w:rPr>
          <w:color w:val="000000" w:themeColor="text1"/>
        </w:rPr>
        <w:t>CLTS</w:t>
      </w:r>
      <w:r w:rsidRPr="0057205A">
        <w:rPr>
          <w:color w:val="000000" w:themeColor="text1"/>
        </w:rPr>
        <w:t xml:space="preserve">. </w:t>
      </w:r>
    </w:p>
    <w:p w14:paraId="3162F2D6" w14:textId="77777777" w:rsidR="000430F1" w:rsidRPr="0057205A" w:rsidRDefault="00ED5F28" w:rsidP="0057205A">
      <w:pPr>
        <w:pStyle w:val="Body"/>
        <w:spacing w:before="100" w:after="100"/>
        <w:jc w:val="both"/>
        <w:rPr>
          <w:rFonts w:eastAsia="Times New Roman"/>
          <w:color w:val="000000" w:themeColor="text1"/>
        </w:rPr>
      </w:pPr>
      <w:r w:rsidRPr="0057205A">
        <w:rPr>
          <w:color w:val="000000" w:themeColor="text1"/>
        </w:rPr>
        <w:t xml:space="preserve">Son </w:t>
      </w:r>
      <w:r w:rsidR="001B4C2F" w:rsidRPr="0057205A">
        <w:rPr>
          <w:color w:val="000000" w:themeColor="text1"/>
        </w:rPr>
        <w:t>r</w:t>
      </w:r>
      <w:r w:rsidRPr="0057205A">
        <w:rPr>
          <w:color w:val="000000" w:themeColor="text1"/>
        </w:rPr>
        <w:t xml:space="preserve">ôle </w:t>
      </w:r>
      <w:r w:rsidR="001B4C2F" w:rsidRPr="0057205A">
        <w:rPr>
          <w:color w:val="000000" w:themeColor="text1"/>
        </w:rPr>
        <w:t xml:space="preserve">consiste </w:t>
      </w:r>
      <w:r w:rsidRPr="0057205A">
        <w:rPr>
          <w:color w:val="000000" w:themeColor="text1"/>
        </w:rPr>
        <w:t xml:space="preserve">principalement </w:t>
      </w:r>
      <w:r w:rsidR="001B4C2F" w:rsidRPr="0057205A">
        <w:rPr>
          <w:color w:val="000000" w:themeColor="text1"/>
        </w:rPr>
        <w:t xml:space="preserve">en </w:t>
      </w:r>
      <w:r w:rsidRPr="0057205A">
        <w:rPr>
          <w:color w:val="000000" w:themeColor="text1"/>
        </w:rPr>
        <w:t xml:space="preserve">: </w:t>
      </w:r>
    </w:p>
    <w:p w14:paraId="3C0AD043" w14:textId="77777777" w:rsidR="000430F1" w:rsidRPr="0057205A" w:rsidRDefault="00E0560B" w:rsidP="0057205A">
      <w:pPr>
        <w:pStyle w:val="ListParagraph"/>
        <w:numPr>
          <w:ilvl w:val="0"/>
          <w:numId w:val="20"/>
        </w:numPr>
        <w:tabs>
          <w:tab w:val="left" w:pos="7830"/>
        </w:tabs>
        <w:spacing w:after="0"/>
        <w:ind w:left="1077" w:hanging="357"/>
        <w:jc w:val="both"/>
        <w:rPr>
          <w:rFonts w:eastAsia="Times New Roman"/>
          <w:color w:val="000000" w:themeColor="text1"/>
          <w:lang w:val="fr-FR"/>
        </w:rPr>
      </w:pPr>
      <w:r w:rsidRPr="0057205A">
        <w:rPr>
          <w:color w:val="000000" w:themeColor="text1"/>
          <w:lang w:val="fr-FR"/>
        </w:rPr>
        <w:t>L</w:t>
      </w:r>
      <w:r w:rsidR="00ED5F28" w:rsidRPr="0057205A">
        <w:rPr>
          <w:color w:val="000000" w:themeColor="text1"/>
          <w:lang w:val="fr-FR"/>
        </w:rPr>
        <w:t xml:space="preserve">a </w:t>
      </w:r>
      <w:r w:rsidRPr="0057205A">
        <w:rPr>
          <w:color w:val="000000" w:themeColor="text1"/>
          <w:lang w:val="fr-FR"/>
        </w:rPr>
        <w:t>mise en œuvre des règles d'</w:t>
      </w:r>
      <w:r w:rsidR="000734F5" w:rsidRPr="0057205A">
        <w:rPr>
          <w:color w:val="000000" w:themeColor="text1"/>
          <w:lang w:val="fr-FR"/>
        </w:rPr>
        <w:t>Hémovigilance</w:t>
      </w:r>
    </w:p>
    <w:p w14:paraId="05E46FFD" w14:textId="3C05D396" w:rsidR="00B75A46" w:rsidRPr="0057205A" w:rsidRDefault="00E0560B" w:rsidP="0057205A">
      <w:pPr>
        <w:pStyle w:val="ListParagraph"/>
        <w:numPr>
          <w:ilvl w:val="0"/>
          <w:numId w:val="20"/>
        </w:numPr>
        <w:spacing w:after="0"/>
        <w:ind w:left="1077" w:hanging="357"/>
        <w:jc w:val="both"/>
        <w:rPr>
          <w:rFonts w:eastAsia="Times New Roman"/>
          <w:strike/>
          <w:color w:val="000000" w:themeColor="text1"/>
          <w:lang w:val="fr-FR"/>
        </w:rPr>
      </w:pPr>
      <w:r w:rsidRPr="0057205A">
        <w:rPr>
          <w:color w:val="000000" w:themeColor="text1"/>
          <w:lang w:val="fr-FR"/>
        </w:rPr>
        <w:lastRenderedPageBreak/>
        <w:t>L</w:t>
      </w:r>
      <w:r w:rsidR="00ED5F28" w:rsidRPr="0057205A">
        <w:rPr>
          <w:color w:val="000000" w:themeColor="text1"/>
          <w:lang w:val="fr-FR"/>
        </w:rPr>
        <w:t xml:space="preserve">a coordination des actions </w:t>
      </w:r>
      <w:r w:rsidR="009A5A13" w:rsidRPr="0057205A">
        <w:rPr>
          <w:color w:val="000000" w:themeColor="text1"/>
          <w:lang w:val="fr-FR"/>
        </w:rPr>
        <w:t>d’Hémovigilance dans</w:t>
      </w:r>
      <w:r w:rsidR="00ED5F28" w:rsidRPr="0057205A">
        <w:rPr>
          <w:color w:val="000000" w:themeColor="text1"/>
          <w:lang w:val="fr-FR"/>
        </w:rPr>
        <w:t xml:space="preserve"> l'</w:t>
      </w:r>
      <w:r w:rsidR="000734F5" w:rsidRPr="0057205A">
        <w:rPr>
          <w:color w:val="000000" w:themeColor="text1"/>
          <w:lang w:val="fr-FR"/>
        </w:rPr>
        <w:t xml:space="preserve">Établissement de </w:t>
      </w:r>
      <w:r w:rsidR="00D32FB7" w:rsidRPr="0057205A">
        <w:rPr>
          <w:color w:val="000000" w:themeColor="text1"/>
          <w:lang w:val="fr-FR"/>
        </w:rPr>
        <w:t>s</w:t>
      </w:r>
      <w:r w:rsidR="000734F5" w:rsidRPr="0057205A">
        <w:rPr>
          <w:color w:val="000000" w:themeColor="text1"/>
          <w:lang w:val="fr-FR"/>
        </w:rPr>
        <w:t>ante</w:t>
      </w:r>
      <w:r w:rsidRPr="0057205A">
        <w:rPr>
          <w:color w:val="000000" w:themeColor="text1"/>
          <w:lang w:val="fr-FR"/>
        </w:rPr>
        <w:t> </w:t>
      </w:r>
    </w:p>
    <w:p w14:paraId="27A8E1A0" w14:textId="77777777" w:rsidR="00B75A46" w:rsidRPr="0057205A" w:rsidRDefault="00AB67D6" w:rsidP="0057205A">
      <w:pPr>
        <w:pStyle w:val="ListParagraph"/>
        <w:numPr>
          <w:ilvl w:val="0"/>
          <w:numId w:val="20"/>
        </w:numPr>
        <w:spacing w:after="0"/>
        <w:ind w:left="1077" w:hanging="357"/>
        <w:jc w:val="both"/>
        <w:rPr>
          <w:rFonts w:eastAsia="Times New Roman"/>
          <w:strike/>
          <w:color w:val="000000" w:themeColor="text1"/>
          <w:lang w:val="fr-FR"/>
        </w:rPr>
      </w:pPr>
      <w:r w:rsidRPr="0057205A">
        <w:rPr>
          <w:color w:val="000000" w:themeColor="text1"/>
          <w:lang w:val="fr-FR"/>
        </w:rPr>
        <w:t>Mise en application</w:t>
      </w:r>
      <w:r w:rsidR="00FD7E46" w:rsidRPr="0057205A">
        <w:rPr>
          <w:color w:val="000000" w:themeColor="text1"/>
          <w:lang w:val="fr-FR"/>
        </w:rPr>
        <w:t xml:space="preserve"> des modalités de déclarations au </w:t>
      </w:r>
      <w:r w:rsidR="00A30A63" w:rsidRPr="0057205A">
        <w:rPr>
          <w:color w:val="000000" w:themeColor="text1"/>
          <w:lang w:val="fr-FR"/>
        </w:rPr>
        <w:t>CLTS</w:t>
      </w:r>
    </w:p>
    <w:p w14:paraId="14E4911E" w14:textId="77777777" w:rsidR="000430F1" w:rsidRPr="0057205A" w:rsidRDefault="00E0560B" w:rsidP="0057205A">
      <w:pPr>
        <w:pStyle w:val="ListParagraph"/>
        <w:numPr>
          <w:ilvl w:val="0"/>
          <w:numId w:val="20"/>
        </w:numPr>
        <w:spacing w:after="0"/>
        <w:ind w:left="1077" w:hanging="357"/>
        <w:jc w:val="both"/>
        <w:rPr>
          <w:rFonts w:eastAsia="Times New Roman"/>
          <w:strike/>
          <w:color w:val="000000" w:themeColor="text1"/>
          <w:lang w:val="fr-FR"/>
        </w:rPr>
      </w:pPr>
      <w:r w:rsidRPr="0057205A">
        <w:rPr>
          <w:color w:val="000000" w:themeColor="text1"/>
          <w:lang w:val="fr-FR"/>
        </w:rPr>
        <w:t>L</w:t>
      </w:r>
      <w:r w:rsidR="00ED5F28" w:rsidRPr="0057205A">
        <w:rPr>
          <w:color w:val="000000" w:themeColor="text1"/>
          <w:lang w:val="fr-FR"/>
        </w:rPr>
        <w:t xml:space="preserve">a </w:t>
      </w:r>
      <w:r w:rsidRPr="0057205A">
        <w:rPr>
          <w:color w:val="000000" w:themeColor="text1"/>
          <w:lang w:val="fr-FR"/>
        </w:rPr>
        <w:t xml:space="preserve">politique de </w:t>
      </w:r>
      <w:r w:rsidR="00ED5F28" w:rsidRPr="0057205A">
        <w:rPr>
          <w:color w:val="000000" w:themeColor="text1"/>
          <w:lang w:val="fr-FR"/>
        </w:rPr>
        <w:t xml:space="preserve">collaboration au besoin avec le </w:t>
      </w:r>
      <w:r w:rsidR="000734F5" w:rsidRPr="0057205A">
        <w:rPr>
          <w:color w:val="000000" w:themeColor="text1"/>
          <w:lang w:val="fr-FR"/>
        </w:rPr>
        <w:t xml:space="preserve">centre de transfusion sanguine </w:t>
      </w:r>
      <w:r w:rsidR="00D32FB7" w:rsidRPr="0057205A">
        <w:rPr>
          <w:color w:val="000000" w:themeColor="text1"/>
          <w:lang w:val="fr-FR"/>
        </w:rPr>
        <w:t>réfèrent</w:t>
      </w:r>
    </w:p>
    <w:p w14:paraId="1F9FE525" w14:textId="77777777" w:rsidR="00CA530F" w:rsidRPr="0057205A" w:rsidRDefault="00E0560B" w:rsidP="0057205A">
      <w:pPr>
        <w:pStyle w:val="ListParagraph"/>
        <w:numPr>
          <w:ilvl w:val="0"/>
          <w:numId w:val="20"/>
        </w:numPr>
        <w:spacing w:after="0"/>
        <w:ind w:left="1077" w:hanging="357"/>
        <w:jc w:val="both"/>
        <w:rPr>
          <w:rFonts w:eastAsia="Times New Roman Bold"/>
          <w:color w:val="000000" w:themeColor="text1"/>
          <w:lang w:val="fr-FR"/>
        </w:rPr>
      </w:pPr>
      <w:r w:rsidRPr="0057205A">
        <w:rPr>
          <w:color w:val="000000" w:themeColor="text1"/>
          <w:lang w:val="fr-FR"/>
        </w:rPr>
        <w:t>L</w:t>
      </w:r>
      <w:r w:rsidR="00ED5F28" w:rsidRPr="0057205A">
        <w:rPr>
          <w:color w:val="000000" w:themeColor="text1"/>
          <w:lang w:val="fr-FR"/>
        </w:rPr>
        <w:t>e développement et la surveillance du fonctionnement des dépôts de sang</w:t>
      </w:r>
      <w:r w:rsidR="00237528" w:rsidRPr="0057205A">
        <w:rPr>
          <w:color w:val="000000" w:themeColor="text1"/>
          <w:lang w:val="fr-FR"/>
        </w:rPr>
        <w:t xml:space="preserve"> </w:t>
      </w:r>
    </w:p>
    <w:p w14:paraId="54268D96" w14:textId="77777777" w:rsidR="000430F1" w:rsidRPr="0057205A" w:rsidRDefault="00E0560B" w:rsidP="0057205A">
      <w:pPr>
        <w:pStyle w:val="ListParagraph"/>
        <w:numPr>
          <w:ilvl w:val="0"/>
          <w:numId w:val="20"/>
        </w:numPr>
        <w:spacing w:after="0"/>
        <w:ind w:left="1077" w:hanging="357"/>
        <w:jc w:val="both"/>
        <w:rPr>
          <w:rFonts w:eastAsia="Times New Roman Bold"/>
          <w:color w:val="000000" w:themeColor="text1"/>
          <w:lang w:val="fr-FR"/>
        </w:rPr>
      </w:pPr>
      <w:r w:rsidRPr="0057205A">
        <w:rPr>
          <w:color w:val="000000" w:themeColor="text1"/>
          <w:lang w:val="fr-FR"/>
        </w:rPr>
        <w:t>L</w:t>
      </w:r>
      <w:r w:rsidR="00ED5F28" w:rsidRPr="0057205A">
        <w:rPr>
          <w:color w:val="000000" w:themeColor="text1"/>
          <w:lang w:val="fr-FR"/>
        </w:rPr>
        <w:t>a mise en place d'un programme de formation des p</w:t>
      </w:r>
      <w:r w:rsidR="00CF01BE" w:rsidRPr="0057205A">
        <w:rPr>
          <w:color w:val="000000" w:themeColor="text1"/>
          <w:lang w:val="fr-FR"/>
        </w:rPr>
        <w:t>rofessionnels</w:t>
      </w:r>
      <w:r w:rsidR="00ED5F28" w:rsidRPr="0057205A">
        <w:rPr>
          <w:color w:val="000000" w:themeColor="text1"/>
          <w:lang w:val="fr-FR"/>
        </w:rPr>
        <w:t xml:space="preserve"> en matière de transfusion sanguine</w:t>
      </w:r>
      <w:r w:rsidR="00237528" w:rsidRPr="0057205A">
        <w:rPr>
          <w:color w:val="000000" w:themeColor="text1"/>
          <w:lang w:val="fr-FR"/>
        </w:rPr>
        <w:t xml:space="preserve"> </w:t>
      </w:r>
    </w:p>
    <w:p w14:paraId="5F1A137C" w14:textId="38A712F2" w:rsidR="00F75374" w:rsidRPr="0057205A" w:rsidRDefault="00E54407" w:rsidP="0057205A">
      <w:pPr>
        <w:pStyle w:val="ListParagraph"/>
        <w:numPr>
          <w:ilvl w:val="0"/>
          <w:numId w:val="20"/>
        </w:numPr>
        <w:spacing w:after="0"/>
        <w:ind w:left="1077" w:hanging="357"/>
        <w:jc w:val="both"/>
        <w:rPr>
          <w:rFonts w:eastAsia="Times New Roman Bold"/>
          <w:color w:val="000000" w:themeColor="text1"/>
          <w:lang w:val="fr-FR"/>
        </w:rPr>
      </w:pPr>
      <w:r w:rsidRPr="0057205A">
        <w:rPr>
          <w:color w:val="000000" w:themeColor="text1"/>
          <w:lang w:val="fr-FR"/>
        </w:rPr>
        <w:t>L’écriture de protocoles transfusionnel</w:t>
      </w:r>
      <w:r w:rsidR="005B7E76" w:rsidRPr="0057205A">
        <w:rPr>
          <w:color w:val="000000" w:themeColor="text1"/>
          <w:lang w:val="fr-FR"/>
        </w:rPr>
        <w:t>s</w:t>
      </w:r>
    </w:p>
    <w:p w14:paraId="39A2FB97" w14:textId="7C8E9CA9" w:rsidR="0057205A" w:rsidRDefault="0057205A" w:rsidP="0057205A">
      <w:pPr>
        <w:pStyle w:val="NormalWeb"/>
        <w:shd w:val="clear" w:color="auto" w:fill="FFFFFF"/>
        <w:spacing w:before="0" w:after="120" w:line="276" w:lineRule="auto"/>
        <w:jc w:val="both"/>
        <w:outlineLvl w:val="0"/>
        <w:rPr>
          <w:rFonts w:ascii="Calibri" w:hAnsi="Calibri" w:cs="Calibri"/>
          <w:b/>
          <w:bCs/>
          <w:color w:val="000000" w:themeColor="text1"/>
          <w:sz w:val="36"/>
          <w:szCs w:val="36"/>
          <w:u w:val="single"/>
          <w:lang w:val="fr-FR"/>
        </w:rPr>
      </w:pPr>
    </w:p>
    <w:p w14:paraId="061CFBEE" w14:textId="20F988BE" w:rsidR="0057205A" w:rsidRDefault="0057205A" w:rsidP="0057205A">
      <w:pPr>
        <w:pStyle w:val="NormalWeb"/>
        <w:shd w:val="clear" w:color="auto" w:fill="FFFFFF"/>
        <w:spacing w:before="0" w:after="120" w:line="276" w:lineRule="auto"/>
        <w:jc w:val="both"/>
        <w:outlineLvl w:val="0"/>
        <w:rPr>
          <w:rFonts w:ascii="Calibri" w:hAnsi="Calibri" w:cs="Calibri"/>
          <w:b/>
          <w:bCs/>
          <w:color w:val="000000" w:themeColor="text1"/>
          <w:sz w:val="36"/>
          <w:szCs w:val="36"/>
          <w:u w:val="single"/>
          <w:lang w:val="fr-FR"/>
        </w:rPr>
      </w:pPr>
    </w:p>
    <w:p w14:paraId="1FFFAC1B" w14:textId="77777777" w:rsidR="0057205A" w:rsidRPr="0057205A" w:rsidRDefault="0057205A" w:rsidP="0057205A">
      <w:pPr>
        <w:pStyle w:val="NormalWeb"/>
        <w:shd w:val="clear" w:color="auto" w:fill="FFFFFF"/>
        <w:spacing w:before="0" w:after="120" w:line="276" w:lineRule="auto"/>
        <w:jc w:val="both"/>
        <w:outlineLvl w:val="0"/>
        <w:rPr>
          <w:rFonts w:ascii="Calibri" w:hAnsi="Calibri" w:cs="Calibri"/>
          <w:b/>
          <w:bCs/>
          <w:color w:val="000000" w:themeColor="text1"/>
          <w:sz w:val="36"/>
          <w:szCs w:val="36"/>
          <w:u w:val="single"/>
          <w:lang w:val="fr-FR"/>
        </w:rPr>
      </w:pPr>
    </w:p>
    <w:p w14:paraId="3A0BA484" w14:textId="0CA50C6F" w:rsidR="000430F1" w:rsidRDefault="00ED5F28" w:rsidP="0057205A">
      <w:pPr>
        <w:pStyle w:val="Heading1"/>
        <w:spacing w:line="276" w:lineRule="auto"/>
        <w:rPr>
          <w:rFonts w:ascii="Calibri" w:hAnsi="Calibri" w:cs="Calibri"/>
          <w:b/>
          <w:bCs/>
          <w:color w:val="C00000"/>
          <w:lang w:val="fr-FR"/>
        </w:rPr>
      </w:pPr>
      <w:bookmarkStart w:id="11" w:name="_Toc122019054"/>
      <w:r w:rsidRPr="0057205A">
        <w:rPr>
          <w:rFonts w:ascii="Calibri" w:hAnsi="Calibri" w:cs="Calibri"/>
          <w:b/>
          <w:bCs/>
          <w:color w:val="C00000"/>
          <w:lang w:val="fr-FR"/>
        </w:rPr>
        <w:t xml:space="preserve">Deuxième Partie : </w:t>
      </w:r>
      <w:r w:rsidR="00237528" w:rsidRPr="0057205A">
        <w:rPr>
          <w:rFonts w:ascii="Calibri" w:hAnsi="Calibri" w:cs="Calibri"/>
          <w:b/>
          <w:bCs/>
          <w:color w:val="C00000"/>
          <w:lang w:val="fr-FR"/>
        </w:rPr>
        <w:t>LE MECANISME DE FONCTIONNEMENT DE L'H</w:t>
      </w:r>
      <w:r w:rsidR="00DF0436" w:rsidRPr="0057205A">
        <w:rPr>
          <w:rFonts w:ascii="Calibri" w:hAnsi="Calibri" w:cs="Calibri"/>
          <w:b/>
          <w:bCs/>
          <w:color w:val="C00000"/>
          <w:lang w:val="fr-FR"/>
        </w:rPr>
        <w:t>EMO</w:t>
      </w:r>
      <w:r w:rsidR="00237528" w:rsidRPr="0057205A">
        <w:rPr>
          <w:rFonts w:ascii="Calibri" w:hAnsi="Calibri" w:cs="Calibri"/>
          <w:b/>
          <w:bCs/>
          <w:color w:val="C00000"/>
          <w:lang w:val="fr-FR"/>
        </w:rPr>
        <w:t>V</w:t>
      </w:r>
      <w:r w:rsidR="00DF0436" w:rsidRPr="0057205A">
        <w:rPr>
          <w:rFonts w:ascii="Calibri" w:hAnsi="Calibri" w:cs="Calibri"/>
          <w:b/>
          <w:bCs/>
          <w:color w:val="C00000"/>
          <w:lang w:val="fr-FR"/>
        </w:rPr>
        <w:t>IGILANCE</w:t>
      </w:r>
      <w:bookmarkEnd w:id="11"/>
    </w:p>
    <w:p w14:paraId="32DAC309" w14:textId="77777777" w:rsidR="0057205A" w:rsidRPr="0057205A" w:rsidRDefault="0057205A" w:rsidP="0057205A">
      <w:pPr>
        <w:rPr>
          <w:lang w:val="fr-FR"/>
        </w:rPr>
      </w:pPr>
    </w:p>
    <w:p w14:paraId="52605E3B" w14:textId="00576CBA" w:rsidR="00DF0436" w:rsidRPr="0057205A" w:rsidRDefault="00CA530F" w:rsidP="0057205A">
      <w:pPr>
        <w:pStyle w:val="Heading1"/>
        <w:numPr>
          <w:ilvl w:val="0"/>
          <w:numId w:val="31"/>
        </w:numPr>
        <w:spacing w:line="276" w:lineRule="auto"/>
        <w:rPr>
          <w:rFonts w:ascii="Calibri" w:hAnsi="Calibri" w:cs="Calibri"/>
          <w:b/>
          <w:bCs/>
          <w:color w:val="C00000"/>
          <w:sz w:val="22"/>
          <w:szCs w:val="22"/>
          <w:u w:val="single"/>
          <w:lang w:val="fr-FR"/>
        </w:rPr>
      </w:pPr>
      <w:bookmarkStart w:id="12" w:name="_Toc122019055"/>
      <w:r w:rsidRPr="0057205A">
        <w:rPr>
          <w:rFonts w:ascii="Calibri" w:hAnsi="Calibri" w:cs="Calibri"/>
          <w:b/>
          <w:bCs/>
          <w:color w:val="C00000"/>
          <w:sz w:val="22"/>
          <w:szCs w:val="22"/>
          <w:u w:val="single"/>
          <w:lang w:val="fr-FR"/>
        </w:rPr>
        <w:t>Le D</w:t>
      </w:r>
      <w:r w:rsidR="00E0560B" w:rsidRPr="0057205A">
        <w:rPr>
          <w:rFonts w:ascii="Calibri" w:hAnsi="Calibri" w:cs="Calibri"/>
          <w:b/>
          <w:bCs/>
          <w:color w:val="C00000"/>
          <w:sz w:val="22"/>
          <w:szCs w:val="22"/>
          <w:u w:val="single"/>
          <w:lang w:val="fr-FR"/>
        </w:rPr>
        <w:t>ispositif de l’HV</w:t>
      </w:r>
      <w:bookmarkEnd w:id="12"/>
    </w:p>
    <w:p w14:paraId="560BE728" w14:textId="77777777" w:rsidR="00DA0B02" w:rsidRPr="0057205A" w:rsidRDefault="00DA0B02" w:rsidP="0057205A">
      <w:pPr>
        <w:spacing w:before="100" w:beforeAutospacing="1" w:after="100" w:afterAutospacing="1" w:line="276" w:lineRule="auto"/>
        <w:jc w:val="both"/>
        <w:rPr>
          <w:rFonts w:ascii="Calibri" w:eastAsia="Times New Roman" w:hAnsi="Calibri" w:cs="Calibri"/>
          <w:b/>
          <w:i/>
          <w:iCs/>
          <w:color w:val="000000" w:themeColor="text1"/>
          <w:sz w:val="22"/>
          <w:szCs w:val="22"/>
          <w:lang w:val="fr-CA" w:eastAsia="fr-CA"/>
        </w:rPr>
      </w:pPr>
      <w:r w:rsidRPr="0057205A">
        <w:rPr>
          <w:rFonts w:ascii="Calibri" w:eastAsia="Times New Roman" w:hAnsi="Calibri" w:cs="Calibri"/>
          <w:b/>
          <w:i/>
          <w:iCs/>
          <w:color w:val="000000" w:themeColor="text1"/>
          <w:sz w:val="22"/>
          <w:szCs w:val="22"/>
          <w:lang w:val="fr-CA" w:eastAsia="fr-CA"/>
        </w:rPr>
        <w:t>VI.</w:t>
      </w:r>
      <w:r w:rsidR="004F0B65" w:rsidRPr="0057205A">
        <w:rPr>
          <w:rFonts w:ascii="Calibri" w:eastAsia="Times New Roman" w:hAnsi="Calibri" w:cs="Calibri"/>
          <w:b/>
          <w:i/>
          <w:iCs/>
          <w:color w:val="000000" w:themeColor="text1"/>
          <w:sz w:val="22"/>
          <w:szCs w:val="22"/>
          <w:lang w:val="fr-CA" w:eastAsia="fr-CA"/>
        </w:rPr>
        <w:t>1-</w:t>
      </w:r>
      <w:r w:rsidRPr="0057205A">
        <w:rPr>
          <w:rFonts w:ascii="Calibri" w:eastAsia="Times New Roman" w:hAnsi="Calibri" w:cs="Calibri"/>
          <w:b/>
          <w:i/>
          <w:iCs/>
          <w:color w:val="000000" w:themeColor="text1"/>
          <w:sz w:val="22"/>
          <w:szCs w:val="22"/>
          <w:lang w:val="fr-CA" w:eastAsia="fr-CA"/>
        </w:rPr>
        <w:t xml:space="preserve"> </w:t>
      </w:r>
      <w:r w:rsidR="0064102B" w:rsidRPr="0057205A">
        <w:rPr>
          <w:rFonts w:ascii="Calibri" w:eastAsia="Times New Roman" w:hAnsi="Calibri" w:cs="Calibri"/>
          <w:b/>
          <w:i/>
          <w:iCs/>
          <w:color w:val="000000" w:themeColor="text1"/>
          <w:sz w:val="22"/>
          <w:szCs w:val="22"/>
          <w:lang w:val="fr-CA" w:eastAsia="fr-CA"/>
        </w:rPr>
        <w:t>Recueil des informations et</w:t>
      </w:r>
      <w:r w:rsidRPr="0057205A">
        <w:rPr>
          <w:rFonts w:ascii="Calibri" w:eastAsia="Times New Roman" w:hAnsi="Calibri" w:cs="Calibri"/>
          <w:b/>
          <w:i/>
          <w:iCs/>
          <w:color w:val="000000" w:themeColor="text1"/>
          <w:sz w:val="22"/>
          <w:szCs w:val="22"/>
          <w:lang w:val="fr-CA" w:eastAsia="fr-CA"/>
        </w:rPr>
        <w:t xml:space="preserve"> déclaration obl</w:t>
      </w:r>
      <w:r w:rsidR="00783DB4" w:rsidRPr="0057205A">
        <w:rPr>
          <w:rFonts w:ascii="Calibri" w:eastAsia="Times New Roman" w:hAnsi="Calibri" w:cs="Calibri"/>
          <w:b/>
          <w:i/>
          <w:iCs/>
          <w:color w:val="000000" w:themeColor="text1"/>
          <w:sz w:val="22"/>
          <w:szCs w:val="22"/>
          <w:lang w:val="fr-CA" w:eastAsia="fr-CA"/>
        </w:rPr>
        <w:t>igatoire des incidents chez le R</w:t>
      </w:r>
      <w:r w:rsidRPr="0057205A">
        <w:rPr>
          <w:rFonts w:ascii="Calibri" w:eastAsia="Times New Roman" w:hAnsi="Calibri" w:cs="Calibri"/>
          <w:b/>
          <w:i/>
          <w:iCs/>
          <w:color w:val="000000" w:themeColor="text1"/>
          <w:sz w:val="22"/>
          <w:szCs w:val="22"/>
          <w:lang w:val="fr-CA" w:eastAsia="fr-CA"/>
        </w:rPr>
        <w:t xml:space="preserve">eceveur </w:t>
      </w:r>
    </w:p>
    <w:p w14:paraId="21AFCEB0" w14:textId="77777777" w:rsidR="00763EC1" w:rsidRPr="0057205A" w:rsidRDefault="00DA0B02" w:rsidP="0057205A">
      <w:pPr>
        <w:spacing w:before="100" w:beforeAutospacing="1" w:after="100" w:afterAutospacing="1" w:line="276" w:lineRule="auto"/>
        <w:jc w:val="both"/>
        <w:rPr>
          <w:rFonts w:ascii="Calibri" w:eastAsia="Times New Roman" w:hAnsi="Calibri" w:cs="Calibri"/>
          <w:color w:val="000000" w:themeColor="text1"/>
          <w:sz w:val="22"/>
          <w:szCs w:val="22"/>
          <w:lang w:val="fr-CA" w:eastAsia="fr-CA"/>
        </w:rPr>
      </w:pPr>
      <w:r w:rsidRPr="0057205A">
        <w:rPr>
          <w:rFonts w:ascii="Calibri" w:eastAsia="Times New Roman" w:hAnsi="Calibri" w:cs="Calibri"/>
          <w:color w:val="000000" w:themeColor="text1"/>
          <w:sz w:val="22"/>
          <w:szCs w:val="22"/>
          <w:lang w:val="fr-CA" w:eastAsia="fr-CA"/>
        </w:rPr>
        <w:t xml:space="preserve">Tout praticien qui constate des effets indésirables ou inattendus survenant lors d'un acte transfusionnel ou postérieurement à celui-ci, est tenu de les déclarer au </w:t>
      </w:r>
      <w:r w:rsidR="006A2B08" w:rsidRPr="0057205A">
        <w:rPr>
          <w:rFonts w:ascii="Calibri" w:eastAsia="Times New Roman" w:hAnsi="Calibri" w:cs="Calibri"/>
          <w:color w:val="000000" w:themeColor="text1"/>
          <w:sz w:val="22"/>
          <w:szCs w:val="22"/>
          <w:lang w:val="fr-CA" w:eastAsia="fr-CA"/>
        </w:rPr>
        <w:t>correspondant d’hémovigilance de l’établissement de sante</w:t>
      </w:r>
      <w:r w:rsidRPr="0057205A">
        <w:rPr>
          <w:rFonts w:ascii="Calibri" w:eastAsia="Times New Roman" w:hAnsi="Calibri" w:cs="Calibri"/>
          <w:color w:val="000000" w:themeColor="text1"/>
          <w:sz w:val="22"/>
          <w:szCs w:val="22"/>
          <w:lang w:val="fr-CA" w:eastAsia="fr-CA"/>
        </w:rPr>
        <w:t xml:space="preserve"> où le produit a été administré. </w:t>
      </w:r>
    </w:p>
    <w:p w14:paraId="7098F1A7" w14:textId="24EE80AE" w:rsidR="007C4BC4" w:rsidRPr="0057205A" w:rsidRDefault="002B62EA" w:rsidP="0057205A">
      <w:pPr>
        <w:spacing w:before="100" w:beforeAutospacing="1" w:after="100" w:afterAutospacing="1" w:line="276" w:lineRule="auto"/>
        <w:jc w:val="both"/>
        <w:rPr>
          <w:rFonts w:ascii="Calibri" w:eastAsia="Times New Roman" w:hAnsi="Calibri" w:cs="Calibri"/>
          <w:color w:val="000000" w:themeColor="text1"/>
          <w:sz w:val="22"/>
          <w:szCs w:val="22"/>
          <w:lang w:val="fr-CA" w:eastAsia="fr-CA"/>
        </w:rPr>
      </w:pPr>
      <w:r w:rsidRPr="0057205A">
        <w:rPr>
          <w:rFonts w:ascii="Calibri" w:eastAsia="Times New Roman" w:hAnsi="Calibri" w:cs="Calibri"/>
          <w:color w:val="000000" w:themeColor="text1"/>
          <w:sz w:val="22"/>
          <w:szCs w:val="22"/>
          <w:lang w:val="fr-CA" w:eastAsia="fr-CA"/>
        </w:rPr>
        <w:t xml:space="preserve">Le correspondant d’HV conduit une enquête et établit une fiche d’incident transfusionnel ou FIT qui sert de base à la déclaration électronique au CLTS. Au cas </w:t>
      </w:r>
      <w:r w:rsidR="00E141D3" w:rsidRPr="0057205A">
        <w:rPr>
          <w:rFonts w:ascii="Calibri" w:eastAsia="Times New Roman" w:hAnsi="Calibri" w:cs="Calibri"/>
          <w:color w:val="000000" w:themeColor="text1"/>
          <w:sz w:val="22"/>
          <w:szCs w:val="22"/>
          <w:lang w:val="fr-CA" w:eastAsia="fr-CA"/>
        </w:rPr>
        <w:t>où</w:t>
      </w:r>
      <w:r w:rsidRPr="0057205A">
        <w:rPr>
          <w:rFonts w:ascii="Calibri" w:eastAsia="Times New Roman" w:hAnsi="Calibri" w:cs="Calibri"/>
          <w:color w:val="000000" w:themeColor="text1"/>
          <w:sz w:val="22"/>
          <w:szCs w:val="22"/>
          <w:lang w:val="fr-CA" w:eastAsia="fr-CA"/>
        </w:rPr>
        <w:t xml:space="preserve"> le PSL provient d’un centre de transfusion sanguine</w:t>
      </w:r>
      <w:r w:rsidR="00E141D3" w:rsidRPr="0057205A">
        <w:rPr>
          <w:rFonts w:ascii="Calibri" w:eastAsia="Times New Roman" w:hAnsi="Calibri" w:cs="Calibri"/>
          <w:color w:val="000000" w:themeColor="text1"/>
          <w:sz w:val="22"/>
          <w:szCs w:val="22"/>
          <w:lang w:val="fr-CA" w:eastAsia="fr-CA"/>
        </w:rPr>
        <w:t xml:space="preserve"> référent</w:t>
      </w:r>
      <w:r w:rsidRPr="0057205A">
        <w:rPr>
          <w:rFonts w:ascii="Calibri" w:eastAsia="Times New Roman" w:hAnsi="Calibri" w:cs="Calibri"/>
          <w:color w:val="000000" w:themeColor="text1"/>
          <w:sz w:val="22"/>
          <w:szCs w:val="22"/>
          <w:lang w:val="fr-CA" w:eastAsia="fr-CA"/>
        </w:rPr>
        <w:t xml:space="preserve">, </w:t>
      </w:r>
      <w:r w:rsidR="00384CAA" w:rsidRPr="0057205A">
        <w:rPr>
          <w:rFonts w:ascii="Calibri" w:eastAsia="Times New Roman" w:hAnsi="Calibri" w:cs="Calibri"/>
          <w:color w:val="000000" w:themeColor="text1"/>
          <w:sz w:val="22"/>
          <w:szCs w:val="22"/>
          <w:lang w:val="fr-CA" w:eastAsia="fr-CA"/>
        </w:rPr>
        <w:t>l</w:t>
      </w:r>
      <w:r w:rsidR="00763EC1" w:rsidRPr="0057205A">
        <w:rPr>
          <w:rFonts w:ascii="Calibri" w:eastAsia="Times New Roman" w:hAnsi="Calibri" w:cs="Calibri"/>
          <w:color w:val="000000" w:themeColor="text1"/>
          <w:sz w:val="22"/>
          <w:szCs w:val="22"/>
          <w:lang w:val="fr-CA" w:eastAsia="fr-CA"/>
        </w:rPr>
        <w:t>e correspondant</w:t>
      </w:r>
      <w:r w:rsidR="00DA0B02" w:rsidRPr="0057205A">
        <w:rPr>
          <w:rFonts w:ascii="Calibri" w:eastAsia="Times New Roman" w:hAnsi="Calibri" w:cs="Calibri"/>
          <w:color w:val="000000" w:themeColor="text1"/>
          <w:sz w:val="22"/>
          <w:szCs w:val="22"/>
          <w:lang w:val="fr-CA" w:eastAsia="fr-CA"/>
        </w:rPr>
        <w:t xml:space="preserve"> conduit une enquête en collabor</w:t>
      </w:r>
      <w:r w:rsidR="00112AB7" w:rsidRPr="0057205A">
        <w:rPr>
          <w:rFonts w:ascii="Calibri" w:eastAsia="Times New Roman" w:hAnsi="Calibri" w:cs="Calibri"/>
          <w:color w:val="000000" w:themeColor="text1"/>
          <w:sz w:val="22"/>
          <w:szCs w:val="22"/>
          <w:lang w:val="fr-CA" w:eastAsia="fr-CA"/>
        </w:rPr>
        <w:t xml:space="preserve">ation avec le correspondant du centre </w:t>
      </w:r>
      <w:r w:rsidR="001159D7" w:rsidRPr="0057205A">
        <w:rPr>
          <w:rFonts w:ascii="Calibri" w:eastAsia="Times New Roman" w:hAnsi="Calibri" w:cs="Calibri"/>
          <w:color w:val="000000" w:themeColor="text1"/>
          <w:sz w:val="22"/>
          <w:szCs w:val="22"/>
          <w:lang w:val="fr-CA" w:eastAsia="fr-CA"/>
        </w:rPr>
        <w:t xml:space="preserve">de transfusion sanguine </w:t>
      </w:r>
      <w:r w:rsidR="006A2B08" w:rsidRPr="0057205A">
        <w:rPr>
          <w:rFonts w:ascii="Calibri" w:eastAsia="Times New Roman" w:hAnsi="Calibri" w:cs="Calibri"/>
          <w:color w:val="000000" w:themeColor="text1"/>
          <w:sz w:val="22"/>
          <w:szCs w:val="22"/>
          <w:lang w:val="fr-CA" w:eastAsia="fr-CA"/>
        </w:rPr>
        <w:t>réfèrent</w:t>
      </w:r>
      <w:r w:rsidR="00DA0B02" w:rsidRPr="0057205A">
        <w:rPr>
          <w:rFonts w:ascii="Calibri" w:eastAsia="Times New Roman" w:hAnsi="Calibri" w:cs="Calibri"/>
          <w:color w:val="000000" w:themeColor="text1"/>
          <w:sz w:val="22"/>
          <w:szCs w:val="22"/>
          <w:lang w:val="fr-CA" w:eastAsia="fr-CA"/>
        </w:rPr>
        <w:t xml:space="preserve"> (</w:t>
      </w:r>
      <w:proofErr w:type="spellStart"/>
      <w:r w:rsidR="00E967B6" w:rsidRPr="0057205A">
        <w:rPr>
          <w:rFonts w:ascii="Calibri" w:eastAsia="Times New Roman" w:hAnsi="Calibri" w:cs="Calibri"/>
          <w:color w:val="000000" w:themeColor="text1"/>
          <w:sz w:val="22"/>
          <w:szCs w:val="22"/>
          <w:lang w:val="fr-CA" w:eastAsia="fr-CA"/>
        </w:rPr>
        <w:t>co</w:t>
      </w:r>
      <w:r w:rsidR="006A2B08" w:rsidRPr="0057205A">
        <w:rPr>
          <w:rFonts w:ascii="Calibri" w:eastAsia="Times New Roman" w:hAnsi="Calibri" w:cs="Calibri"/>
          <w:color w:val="000000" w:themeColor="text1"/>
          <w:sz w:val="22"/>
          <w:szCs w:val="22"/>
          <w:lang w:val="fr-CA" w:eastAsia="fr-CA"/>
        </w:rPr>
        <w:t>-</w:t>
      </w:r>
      <w:r w:rsidR="00E967B6" w:rsidRPr="0057205A">
        <w:rPr>
          <w:rFonts w:ascii="Calibri" w:eastAsia="Times New Roman" w:hAnsi="Calibri" w:cs="Calibri"/>
          <w:color w:val="000000" w:themeColor="text1"/>
          <w:sz w:val="22"/>
          <w:szCs w:val="22"/>
          <w:lang w:val="fr-CA" w:eastAsia="fr-CA"/>
        </w:rPr>
        <w:t>signature</w:t>
      </w:r>
      <w:proofErr w:type="spellEnd"/>
      <w:r w:rsidR="00DA0B02" w:rsidRPr="0057205A">
        <w:rPr>
          <w:rFonts w:ascii="Calibri" w:eastAsia="Times New Roman" w:hAnsi="Calibri" w:cs="Calibri"/>
          <w:color w:val="000000" w:themeColor="text1"/>
          <w:sz w:val="22"/>
          <w:szCs w:val="22"/>
          <w:lang w:val="fr-CA" w:eastAsia="fr-CA"/>
        </w:rPr>
        <w:t xml:space="preserve">) et établit une </w:t>
      </w:r>
      <w:r w:rsidR="0064102B" w:rsidRPr="0057205A">
        <w:rPr>
          <w:rFonts w:ascii="Calibri" w:eastAsia="Times New Roman" w:hAnsi="Calibri" w:cs="Calibri"/>
          <w:color w:val="000000" w:themeColor="text1"/>
          <w:sz w:val="22"/>
          <w:szCs w:val="22"/>
          <w:lang w:val="fr-CA" w:eastAsia="fr-CA"/>
        </w:rPr>
        <w:t xml:space="preserve">fiche d’incident transfusionnel ou </w:t>
      </w:r>
      <w:r w:rsidR="00DA0B02" w:rsidRPr="0057205A">
        <w:rPr>
          <w:rFonts w:ascii="Calibri" w:eastAsia="Times New Roman" w:hAnsi="Calibri" w:cs="Calibri"/>
          <w:color w:val="000000" w:themeColor="text1"/>
          <w:sz w:val="22"/>
          <w:szCs w:val="22"/>
          <w:lang w:val="fr-CA" w:eastAsia="fr-CA"/>
        </w:rPr>
        <w:t xml:space="preserve">FIT qui </w:t>
      </w:r>
      <w:r w:rsidR="00C1368F" w:rsidRPr="0057205A">
        <w:rPr>
          <w:rFonts w:ascii="Calibri" w:eastAsia="Times New Roman" w:hAnsi="Calibri" w:cs="Calibri"/>
          <w:color w:val="000000" w:themeColor="text1"/>
          <w:sz w:val="22"/>
          <w:szCs w:val="22"/>
          <w:lang w:val="fr-CA" w:eastAsia="fr-CA"/>
        </w:rPr>
        <w:t xml:space="preserve">sert de base à la déclaration électronique au </w:t>
      </w:r>
      <w:r w:rsidR="00A30A63" w:rsidRPr="0057205A">
        <w:rPr>
          <w:rFonts w:ascii="Calibri" w:eastAsia="Times New Roman" w:hAnsi="Calibri" w:cs="Calibri"/>
          <w:color w:val="000000" w:themeColor="text1"/>
          <w:sz w:val="22"/>
          <w:szCs w:val="22"/>
          <w:lang w:val="fr-CA" w:eastAsia="fr-CA"/>
        </w:rPr>
        <w:t>CLTS</w:t>
      </w:r>
      <w:r w:rsidR="00DA0B02" w:rsidRPr="0057205A">
        <w:rPr>
          <w:rFonts w:ascii="Calibri" w:eastAsia="Times New Roman" w:hAnsi="Calibri" w:cs="Calibri"/>
          <w:color w:val="000000" w:themeColor="text1"/>
          <w:sz w:val="22"/>
          <w:szCs w:val="22"/>
          <w:lang w:val="fr-CA" w:eastAsia="fr-CA"/>
        </w:rPr>
        <w:t xml:space="preserve">. </w:t>
      </w:r>
      <w:r w:rsidR="007C4BC4" w:rsidRPr="0057205A">
        <w:rPr>
          <w:rFonts w:ascii="Calibri" w:eastAsia="Times New Roman" w:hAnsi="Calibri" w:cs="Calibri"/>
          <w:color w:val="000000" w:themeColor="text1"/>
          <w:sz w:val="22"/>
          <w:szCs w:val="22"/>
          <w:lang w:val="fr-CA" w:eastAsia="fr-CA"/>
        </w:rPr>
        <w:t xml:space="preserve">Au cas où le </w:t>
      </w:r>
      <w:r w:rsidR="006A2B08" w:rsidRPr="0057205A">
        <w:rPr>
          <w:rFonts w:ascii="Calibri" w:eastAsia="Times New Roman" w:hAnsi="Calibri" w:cs="Calibri"/>
          <w:color w:val="000000" w:themeColor="text1"/>
          <w:sz w:val="22"/>
          <w:szCs w:val="22"/>
          <w:lang w:val="fr-CA" w:eastAsia="fr-CA"/>
        </w:rPr>
        <w:t xml:space="preserve">correspondant d’hémovigilance </w:t>
      </w:r>
      <w:r w:rsidR="007C4BC4" w:rsidRPr="0057205A">
        <w:rPr>
          <w:rFonts w:ascii="Calibri" w:eastAsia="Times New Roman" w:hAnsi="Calibri" w:cs="Calibri"/>
          <w:color w:val="000000" w:themeColor="text1"/>
          <w:sz w:val="22"/>
          <w:szCs w:val="22"/>
          <w:lang w:val="fr-CA" w:eastAsia="fr-CA"/>
        </w:rPr>
        <w:t xml:space="preserve">est également correspondant du centre </w:t>
      </w:r>
      <w:r w:rsidR="001159D7" w:rsidRPr="0057205A">
        <w:rPr>
          <w:rFonts w:ascii="Calibri" w:eastAsia="Times New Roman" w:hAnsi="Calibri" w:cs="Calibri"/>
          <w:color w:val="000000" w:themeColor="text1"/>
          <w:sz w:val="22"/>
          <w:szCs w:val="22"/>
          <w:lang w:val="fr-CA" w:eastAsia="fr-CA"/>
        </w:rPr>
        <w:t xml:space="preserve">de transfusion sanguine </w:t>
      </w:r>
      <w:r w:rsidR="006A2B08" w:rsidRPr="0057205A">
        <w:rPr>
          <w:rFonts w:ascii="Calibri" w:eastAsia="Times New Roman" w:hAnsi="Calibri" w:cs="Calibri"/>
          <w:color w:val="000000" w:themeColor="text1"/>
          <w:sz w:val="22"/>
          <w:szCs w:val="22"/>
          <w:lang w:val="fr-CA" w:eastAsia="fr-CA"/>
        </w:rPr>
        <w:t>réfèrent</w:t>
      </w:r>
      <w:r w:rsidR="007C4BC4" w:rsidRPr="0057205A">
        <w:rPr>
          <w:rFonts w:ascii="Calibri" w:eastAsia="Times New Roman" w:hAnsi="Calibri" w:cs="Calibri"/>
          <w:color w:val="000000" w:themeColor="text1"/>
          <w:sz w:val="22"/>
          <w:szCs w:val="22"/>
          <w:lang w:val="fr-CA" w:eastAsia="fr-CA"/>
        </w:rPr>
        <w:t xml:space="preserve">, </w:t>
      </w:r>
      <w:r w:rsidR="00C95615" w:rsidRPr="0057205A">
        <w:rPr>
          <w:rFonts w:ascii="Calibri" w:eastAsia="Times New Roman" w:hAnsi="Calibri" w:cs="Calibri"/>
          <w:color w:val="000000" w:themeColor="text1"/>
          <w:sz w:val="22"/>
          <w:szCs w:val="22"/>
          <w:lang w:val="fr-CA" w:eastAsia="fr-CA"/>
        </w:rPr>
        <w:t>sa</w:t>
      </w:r>
      <w:r w:rsidR="007C4BC4" w:rsidRPr="0057205A">
        <w:rPr>
          <w:rFonts w:ascii="Calibri" w:eastAsia="Times New Roman" w:hAnsi="Calibri" w:cs="Calibri"/>
          <w:color w:val="000000" w:themeColor="text1"/>
          <w:sz w:val="22"/>
          <w:szCs w:val="22"/>
          <w:lang w:val="fr-CA" w:eastAsia="fr-CA"/>
        </w:rPr>
        <w:t xml:space="preserve"> signature </w:t>
      </w:r>
      <w:r w:rsidR="00C95615" w:rsidRPr="0057205A">
        <w:rPr>
          <w:rFonts w:ascii="Calibri" w:eastAsia="Times New Roman" w:hAnsi="Calibri" w:cs="Calibri"/>
          <w:color w:val="000000" w:themeColor="text1"/>
          <w:sz w:val="22"/>
          <w:szCs w:val="22"/>
          <w:lang w:val="fr-CA" w:eastAsia="fr-CA"/>
        </w:rPr>
        <w:t xml:space="preserve">seule suffit </w:t>
      </w:r>
      <w:r w:rsidR="00C1368F" w:rsidRPr="0057205A">
        <w:rPr>
          <w:rFonts w:ascii="Calibri" w:eastAsia="Times New Roman" w:hAnsi="Calibri" w:cs="Calibri"/>
          <w:color w:val="000000" w:themeColor="text1"/>
          <w:sz w:val="22"/>
          <w:szCs w:val="22"/>
          <w:lang w:val="fr-CA" w:eastAsia="fr-CA"/>
        </w:rPr>
        <w:t>sur la FIT.</w:t>
      </w:r>
    </w:p>
    <w:p w14:paraId="5024C1E3" w14:textId="271EF441" w:rsidR="0057205A" w:rsidRPr="0057205A" w:rsidRDefault="00DA0B02" w:rsidP="0057205A">
      <w:pPr>
        <w:spacing w:before="100" w:beforeAutospacing="1" w:after="100" w:afterAutospacing="1" w:line="276" w:lineRule="auto"/>
        <w:jc w:val="both"/>
        <w:rPr>
          <w:rFonts w:ascii="Calibri" w:eastAsia="Times New Roman" w:hAnsi="Calibri" w:cs="Calibri"/>
          <w:color w:val="000000" w:themeColor="text1"/>
          <w:sz w:val="22"/>
          <w:szCs w:val="22"/>
          <w:lang w:val="fr-CA" w:eastAsia="fr-CA"/>
        </w:rPr>
      </w:pPr>
      <w:r w:rsidRPr="0057205A">
        <w:rPr>
          <w:rFonts w:ascii="Calibri" w:eastAsia="Times New Roman" w:hAnsi="Calibri" w:cs="Calibri"/>
          <w:color w:val="000000" w:themeColor="text1"/>
          <w:sz w:val="22"/>
          <w:szCs w:val="22"/>
          <w:lang w:val="fr-CA" w:eastAsia="fr-CA"/>
        </w:rPr>
        <w:t xml:space="preserve">L’annexe IV décrit </w:t>
      </w:r>
      <w:r w:rsidR="00CA6CAA" w:rsidRPr="0057205A">
        <w:rPr>
          <w:rFonts w:ascii="Calibri" w:eastAsia="Times New Roman" w:hAnsi="Calibri" w:cs="Calibri"/>
          <w:color w:val="000000" w:themeColor="text1"/>
          <w:sz w:val="22"/>
          <w:szCs w:val="22"/>
          <w:lang w:val="fr-CA" w:eastAsia="fr-CA"/>
        </w:rPr>
        <w:t xml:space="preserve">le contenu de la FIT ainsi que </w:t>
      </w:r>
      <w:r w:rsidRPr="0057205A">
        <w:rPr>
          <w:rFonts w:ascii="Calibri" w:eastAsia="Times New Roman" w:hAnsi="Calibri" w:cs="Calibri"/>
          <w:color w:val="000000" w:themeColor="text1"/>
          <w:sz w:val="22"/>
          <w:szCs w:val="22"/>
          <w:lang w:val="fr-CA" w:eastAsia="fr-CA"/>
        </w:rPr>
        <w:t xml:space="preserve">les modalités de </w:t>
      </w:r>
      <w:r w:rsidR="00E967B6" w:rsidRPr="0057205A">
        <w:rPr>
          <w:rFonts w:ascii="Calibri" w:eastAsia="Times New Roman" w:hAnsi="Calibri" w:cs="Calibri"/>
          <w:color w:val="000000" w:themeColor="text1"/>
          <w:sz w:val="22"/>
          <w:szCs w:val="22"/>
          <w:lang w:val="fr-CA" w:eastAsia="fr-CA"/>
        </w:rPr>
        <w:t>signalement et de déclaration</w:t>
      </w:r>
      <w:r w:rsidRPr="0057205A">
        <w:rPr>
          <w:rFonts w:ascii="Calibri" w:eastAsia="Times New Roman" w:hAnsi="Calibri" w:cs="Calibri"/>
          <w:color w:val="000000" w:themeColor="text1"/>
          <w:sz w:val="22"/>
          <w:szCs w:val="22"/>
          <w:lang w:val="fr-CA" w:eastAsia="fr-CA"/>
        </w:rPr>
        <w:t xml:space="preserve"> de </w:t>
      </w:r>
      <w:r w:rsidR="00E967B6" w:rsidRPr="0057205A">
        <w:rPr>
          <w:rFonts w:ascii="Calibri" w:eastAsia="Times New Roman" w:hAnsi="Calibri" w:cs="Calibri"/>
          <w:color w:val="000000" w:themeColor="text1"/>
          <w:sz w:val="22"/>
          <w:szCs w:val="22"/>
          <w:lang w:val="fr-CA" w:eastAsia="fr-CA"/>
        </w:rPr>
        <w:t>l’incident chez le Receveur.</w:t>
      </w:r>
    </w:p>
    <w:p w14:paraId="3C8E9313" w14:textId="77777777" w:rsidR="00DA0B02" w:rsidRPr="0057205A" w:rsidRDefault="00763EC1" w:rsidP="0057205A">
      <w:pPr>
        <w:spacing w:before="100" w:beforeAutospacing="1" w:after="100" w:afterAutospacing="1" w:line="276" w:lineRule="auto"/>
        <w:jc w:val="both"/>
        <w:rPr>
          <w:rFonts w:ascii="Calibri" w:hAnsi="Calibri" w:cs="Calibri"/>
          <w:b/>
          <w:i/>
          <w:iCs/>
          <w:color w:val="000000" w:themeColor="text1"/>
          <w:sz w:val="22"/>
          <w:szCs w:val="22"/>
          <w:shd w:val="clear" w:color="auto" w:fill="FFFFFF"/>
          <w:lang w:val="fr-CA"/>
        </w:rPr>
      </w:pPr>
      <w:r w:rsidRPr="0057205A">
        <w:rPr>
          <w:rFonts w:ascii="Calibri" w:hAnsi="Calibri" w:cs="Calibri"/>
          <w:b/>
          <w:i/>
          <w:iCs/>
          <w:color w:val="000000" w:themeColor="text1"/>
          <w:sz w:val="22"/>
          <w:szCs w:val="22"/>
          <w:shd w:val="clear" w:color="auto" w:fill="FFFFFF"/>
          <w:lang w:val="fr-CA"/>
        </w:rPr>
        <w:t>VI.</w:t>
      </w:r>
      <w:r w:rsidR="00DA0B02" w:rsidRPr="0057205A">
        <w:rPr>
          <w:rFonts w:ascii="Calibri" w:hAnsi="Calibri" w:cs="Calibri"/>
          <w:b/>
          <w:i/>
          <w:iCs/>
          <w:color w:val="000000" w:themeColor="text1"/>
          <w:sz w:val="22"/>
          <w:szCs w:val="22"/>
          <w:shd w:val="clear" w:color="auto" w:fill="FFFFFF"/>
          <w:lang w:val="fr-CA"/>
        </w:rPr>
        <w:t>2</w:t>
      </w:r>
      <w:r w:rsidR="004F0B65" w:rsidRPr="0057205A">
        <w:rPr>
          <w:rFonts w:ascii="Calibri" w:hAnsi="Calibri" w:cs="Calibri"/>
          <w:b/>
          <w:i/>
          <w:iCs/>
          <w:color w:val="000000" w:themeColor="text1"/>
          <w:sz w:val="22"/>
          <w:szCs w:val="22"/>
          <w:shd w:val="clear" w:color="auto" w:fill="FFFFFF"/>
          <w:lang w:val="fr-CA"/>
        </w:rPr>
        <w:t>-</w:t>
      </w:r>
      <w:r w:rsidR="00DA0B02" w:rsidRPr="0057205A">
        <w:rPr>
          <w:rFonts w:ascii="Calibri" w:hAnsi="Calibri" w:cs="Calibri"/>
          <w:b/>
          <w:i/>
          <w:iCs/>
          <w:color w:val="000000" w:themeColor="text1"/>
          <w:sz w:val="22"/>
          <w:szCs w:val="22"/>
          <w:shd w:val="clear" w:color="auto" w:fill="FFFFFF"/>
          <w:lang w:val="fr-CA"/>
        </w:rPr>
        <w:t xml:space="preserve"> </w:t>
      </w:r>
      <w:r w:rsidR="0064102B" w:rsidRPr="0057205A">
        <w:rPr>
          <w:rFonts w:ascii="Calibri" w:eastAsia="Times New Roman" w:hAnsi="Calibri" w:cs="Calibri"/>
          <w:b/>
          <w:i/>
          <w:iCs/>
          <w:color w:val="000000" w:themeColor="text1"/>
          <w:sz w:val="22"/>
          <w:szCs w:val="22"/>
          <w:lang w:val="fr-CA" w:eastAsia="fr-CA"/>
        </w:rPr>
        <w:t>Recueil des informations et</w:t>
      </w:r>
      <w:r w:rsidR="00DA0B02" w:rsidRPr="0057205A">
        <w:rPr>
          <w:rFonts w:ascii="Calibri" w:hAnsi="Calibri" w:cs="Calibri"/>
          <w:b/>
          <w:i/>
          <w:iCs/>
          <w:color w:val="000000" w:themeColor="text1"/>
          <w:sz w:val="22"/>
          <w:szCs w:val="22"/>
          <w:shd w:val="clear" w:color="auto" w:fill="FFFFFF"/>
          <w:lang w:val="fr-CA"/>
        </w:rPr>
        <w:t xml:space="preserve"> déclaration obligatoire d'effet indésirable grave survenu chez un </w:t>
      </w:r>
      <w:r w:rsidR="0064102B" w:rsidRPr="0057205A">
        <w:rPr>
          <w:rFonts w:ascii="Calibri" w:hAnsi="Calibri" w:cs="Calibri"/>
          <w:b/>
          <w:i/>
          <w:iCs/>
          <w:color w:val="000000" w:themeColor="text1"/>
          <w:sz w:val="22"/>
          <w:szCs w:val="22"/>
          <w:shd w:val="clear" w:color="auto" w:fill="FFFFFF"/>
          <w:lang w:val="fr-CA"/>
        </w:rPr>
        <w:t>D</w:t>
      </w:r>
      <w:r w:rsidR="00DA0B02" w:rsidRPr="0057205A">
        <w:rPr>
          <w:rFonts w:ascii="Calibri" w:hAnsi="Calibri" w:cs="Calibri"/>
          <w:b/>
          <w:i/>
          <w:iCs/>
          <w:color w:val="000000" w:themeColor="text1"/>
          <w:sz w:val="22"/>
          <w:szCs w:val="22"/>
          <w:shd w:val="clear" w:color="auto" w:fill="FFFFFF"/>
          <w:lang w:val="fr-CA"/>
        </w:rPr>
        <w:t>onneur de sang</w:t>
      </w:r>
    </w:p>
    <w:p w14:paraId="44AD10FA" w14:textId="77777777" w:rsidR="0064102B" w:rsidRPr="0057205A" w:rsidRDefault="00DA0B02" w:rsidP="0057205A">
      <w:pPr>
        <w:spacing w:before="100" w:beforeAutospacing="1" w:after="100" w:afterAutospacing="1" w:line="276" w:lineRule="auto"/>
        <w:jc w:val="both"/>
        <w:rPr>
          <w:rFonts w:ascii="Calibri" w:hAnsi="Calibri" w:cs="Calibri"/>
          <w:color w:val="000000" w:themeColor="text1"/>
          <w:sz w:val="22"/>
          <w:szCs w:val="22"/>
          <w:shd w:val="clear" w:color="auto" w:fill="FFFFFF"/>
          <w:lang w:val="fr-CA"/>
        </w:rPr>
      </w:pPr>
      <w:r w:rsidRPr="0057205A">
        <w:rPr>
          <w:rFonts w:ascii="Calibri" w:hAnsi="Calibri" w:cs="Calibri"/>
          <w:color w:val="000000" w:themeColor="text1"/>
          <w:sz w:val="22"/>
          <w:szCs w:val="22"/>
          <w:shd w:val="clear" w:color="auto" w:fill="FFFFFF"/>
          <w:lang w:val="fr-CA"/>
        </w:rPr>
        <w:t xml:space="preserve">Tout professionnel de santé qui constate ou a connaissance de la survenue d'un effet indésirable grave survenu chez un </w:t>
      </w:r>
      <w:r w:rsidR="00D40645" w:rsidRPr="0057205A">
        <w:rPr>
          <w:rFonts w:ascii="Calibri" w:hAnsi="Calibri" w:cs="Calibri"/>
          <w:color w:val="000000" w:themeColor="text1"/>
          <w:sz w:val="22"/>
          <w:szCs w:val="22"/>
          <w:shd w:val="clear" w:color="auto" w:fill="FFFFFF"/>
          <w:lang w:val="fr-CA"/>
        </w:rPr>
        <w:t>D</w:t>
      </w:r>
      <w:r w:rsidRPr="0057205A">
        <w:rPr>
          <w:rFonts w:ascii="Calibri" w:hAnsi="Calibri" w:cs="Calibri"/>
          <w:color w:val="000000" w:themeColor="text1"/>
          <w:sz w:val="22"/>
          <w:szCs w:val="22"/>
          <w:shd w:val="clear" w:color="auto" w:fill="FFFFFF"/>
          <w:lang w:val="fr-CA"/>
        </w:rPr>
        <w:t xml:space="preserve">onneur de sang doit le signaler au </w:t>
      </w:r>
      <w:r w:rsidR="00763EC1" w:rsidRPr="0057205A">
        <w:rPr>
          <w:rFonts w:ascii="Calibri" w:hAnsi="Calibri" w:cs="Calibri"/>
          <w:color w:val="000000" w:themeColor="text1"/>
          <w:sz w:val="22"/>
          <w:szCs w:val="22"/>
          <w:shd w:val="clear" w:color="auto" w:fill="FFFFFF"/>
          <w:lang w:val="fr-CA"/>
        </w:rPr>
        <w:t>correspondant</w:t>
      </w:r>
      <w:r w:rsidRPr="0057205A">
        <w:rPr>
          <w:rFonts w:ascii="Calibri" w:hAnsi="Calibri" w:cs="Calibri"/>
          <w:color w:val="000000" w:themeColor="text1"/>
          <w:sz w:val="22"/>
          <w:szCs w:val="22"/>
          <w:shd w:val="clear" w:color="auto" w:fill="FFFFFF"/>
          <w:lang w:val="fr-CA"/>
        </w:rPr>
        <w:t xml:space="preserve"> rattach</w:t>
      </w:r>
      <w:r w:rsidRPr="0057205A">
        <w:rPr>
          <w:rFonts w:ascii="Calibri" w:eastAsia="Times New Roman" w:hAnsi="Calibri" w:cs="Calibri"/>
          <w:color w:val="000000" w:themeColor="text1"/>
          <w:sz w:val="22"/>
          <w:szCs w:val="22"/>
          <w:lang w:val="fr-CA" w:eastAsia="fr-CA"/>
        </w:rPr>
        <w:t>é</w:t>
      </w:r>
      <w:r w:rsidRPr="0057205A">
        <w:rPr>
          <w:rFonts w:ascii="Calibri" w:hAnsi="Calibri" w:cs="Calibri"/>
          <w:color w:val="000000" w:themeColor="text1"/>
          <w:sz w:val="22"/>
          <w:szCs w:val="22"/>
          <w:shd w:val="clear" w:color="auto" w:fill="FFFFFF"/>
          <w:lang w:val="fr-CA"/>
        </w:rPr>
        <w:t xml:space="preserve"> au </w:t>
      </w:r>
      <w:r w:rsidR="00763EC1" w:rsidRPr="0057205A">
        <w:rPr>
          <w:rFonts w:ascii="Calibri" w:hAnsi="Calibri" w:cs="Calibri"/>
          <w:color w:val="000000" w:themeColor="text1"/>
          <w:sz w:val="22"/>
          <w:szCs w:val="22"/>
          <w:shd w:val="clear" w:color="auto" w:fill="FFFFFF"/>
          <w:lang w:val="fr-CA"/>
        </w:rPr>
        <w:t xml:space="preserve">centre </w:t>
      </w:r>
      <w:r w:rsidR="00DC2707" w:rsidRPr="0057205A">
        <w:rPr>
          <w:rFonts w:ascii="Calibri" w:hAnsi="Calibri" w:cs="Calibri"/>
          <w:color w:val="000000" w:themeColor="text1"/>
          <w:sz w:val="22"/>
          <w:szCs w:val="22"/>
          <w:shd w:val="clear" w:color="auto" w:fill="FFFFFF"/>
          <w:lang w:val="fr-CA"/>
        </w:rPr>
        <w:t>de transfusion sanguine</w:t>
      </w:r>
      <w:r w:rsidRPr="0057205A">
        <w:rPr>
          <w:rFonts w:ascii="Calibri" w:hAnsi="Calibri" w:cs="Calibri"/>
          <w:color w:val="000000" w:themeColor="text1"/>
          <w:sz w:val="22"/>
          <w:szCs w:val="22"/>
          <w:shd w:val="clear" w:color="auto" w:fill="FFFFFF"/>
          <w:lang w:val="fr-CA"/>
        </w:rPr>
        <w:t xml:space="preserve"> dans lequel le candidat au don s'est présenté. </w:t>
      </w:r>
    </w:p>
    <w:p w14:paraId="3E710ED4" w14:textId="77777777" w:rsidR="00DA0B02" w:rsidRPr="0057205A" w:rsidRDefault="00DA0B02" w:rsidP="0057205A">
      <w:pPr>
        <w:spacing w:before="100" w:beforeAutospacing="1" w:after="100" w:afterAutospacing="1" w:line="276" w:lineRule="auto"/>
        <w:jc w:val="both"/>
        <w:rPr>
          <w:rFonts w:ascii="Calibri" w:hAnsi="Calibri" w:cs="Calibri"/>
          <w:color w:val="000000" w:themeColor="text1"/>
          <w:sz w:val="22"/>
          <w:szCs w:val="22"/>
          <w:shd w:val="clear" w:color="auto" w:fill="FFFFFF"/>
          <w:lang w:val="fr-CA"/>
        </w:rPr>
      </w:pPr>
      <w:r w:rsidRPr="0057205A">
        <w:rPr>
          <w:rFonts w:ascii="Calibri" w:eastAsia="Times New Roman" w:hAnsi="Calibri" w:cs="Calibri"/>
          <w:color w:val="000000" w:themeColor="text1"/>
          <w:sz w:val="22"/>
          <w:szCs w:val="22"/>
          <w:lang w:val="fr-CA" w:eastAsia="fr-CA"/>
        </w:rPr>
        <w:lastRenderedPageBreak/>
        <w:t xml:space="preserve">Le correspondant conduit une enquête et établit une fiche </w:t>
      </w:r>
      <w:r w:rsidR="004B5E21" w:rsidRPr="0057205A">
        <w:rPr>
          <w:rFonts w:ascii="Calibri" w:eastAsia="Times New Roman" w:hAnsi="Calibri" w:cs="Calibri"/>
          <w:color w:val="000000" w:themeColor="text1"/>
          <w:sz w:val="22"/>
          <w:szCs w:val="22"/>
          <w:lang w:val="fr-CA" w:eastAsia="fr-CA"/>
        </w:rPr>
        <w:t>d’incident</w:t>
      </w:r>
      <w:r w:rsidRPr="0057205A">
        <w:rPr>
          <w:rFonts w:ascii="Calibri" w:eastAsia="Times New Roman" w:hAnsi="Calibri" w:cs="Calibri"/>
          <w:color w:val="000000" w:themeColor="text1"/>
          <w:sz w:val="22"/>
          <w:szCs w:val="22"/>
          <w:lang w:val="fr-CA" w:eastAsia="fr-CA"/>
        </w:rPr>
        <w:t xml:space="preserve"> grave Donneur </w:t>
      </w:r>
      <w:r w:rsidR="004B5E21" w:rsidRPr="0057205A">
        <w:rPr>
          <w:rFonts w:ascii="Calibri" w:eastAsia="Times New Roman" w:hAnsi="Calibri" w:cs="Calibri"/>
          <w:color w:val="000000" w:themeColor="text1"/>
          <w:sz w:val="22"/>
          <w:szCs w:val="22"/>
          <w:lang w:val="fr-CA" w:eastAsia="fr-CA"/>
        </w:rPr>
        <w:t>ou F</w:t>
      </w:r>
      <w:r w:rsidR="007D405D" w:rsidRPr="0057205A">
        <w:rPr>
          <w:rFonts w:ascii="Calibri" w:eastAsia="Times New Roman" w:hAnsi="Calibri" w:cs="Calibri"/>
          <w:color w:val="000000" w:themeColor="text1"/>
          <w:sz w:val="22"/>
          <w:szCs w:val="22"/>
          <w:lang w:val="fr-CA" w:eastAsia="fr-CA"/>
        </w:rPr>
        <w:t>E</w:t>
      </w:r>
      <w:r w:rsidR="0064102B" w:rsidRPr="0057205A">
        <w:rPr>
          <w:rFonts w:ascii="Calibri" w:eastAsia="Times New Roman" w:hAnsi="Calibri" w:cs="Calibri"/>
          <w:color w:val="000000" w:themeColor="text1"/>
          <w:sz w:val="22"/>
          <w:szCs w:val="22"/>
          <w:lang w:val="fr-CA" w:eastAsia="fr-CA"/>
        </w:rPr>
        <w:t>IGD</w:t>
      </w:r>
      <w:r w:rsidRPr="0057205A">
        <w:rPr>
          <w:rFonts w:ascii="Calibri" w:eastAsia="Times New Roman" w:hAnsi="Calibri" w:cs="Calibri"/>
          <w:color w:val="000000" w:themeColor="text1"/>
          <w:sz w:val="22"/>
          <w:szCs w:val="22"/>
          <w:lang w:val="fr-CA" w:eastAsia="fr-CA"/>
        </w:rPr>
        <w:t xml:space="preserve"> qui est transmise au C</w:t>
      </w:r>
      <w:r w:rsidR="00A30A63" w:rsidRPr="0057205A">
        <w:rPr>
          <w:rFonts w:ascii="Calibri" w:eastAsia="Times New Roman" w:hAnsi="Calibri" w:cs="Calibri"/>
          <w:color w:val="000000" w:themeColor="text1"/>
          <w:sz w:val="22"/>
          <w:szCs w:val="22"/>
          <w:lang w:val="fr-CA" w:eastAsia="fr-CA"/>
        </w:rPr>
        <w:t>L</w:t>
      </w:r>
      <w:r w:rsidRPr="0057205A">
        <w:rPr>
          <w:rFonts w:ascii="Calibri" w:eastAsia="Times New Roman" w:hAnsi="Calibri" w:cs="Calibri"/>
          <w:color w:val="000000" w:themeColor="text1"/>
          <w:sz w:val="22"/>
          <w:szCs w:val="22"/>
          <w:lang w:val="fr-CA" w:eastAsia="fr-CA"/>
        </w:rPr>
        <w:t>T</w:t>
      </w:r>
      <w:r w:rsidR="00A30A63" w:rsidRPr="0057205A">
        <w:rPr>
          <w:rFonts w:ascii="Calibri" w:eastAsia="Times New Roman" w:hAnsi="Calibri" w:cs="Calibri"/>
          <w:color w:val="000000" w:themeColor="text1"/>
          <w:sz w:val="22"/>
          <w:szCs w:val="22"/>
          <w:lang w:val="fr-CA" w:eastAsia="fr-CA"/>
        </w:rPr>
        <w:t>S</w:t>
      </w:r>
      <w:r w:rsidR="00C1368F" w:rsidRPr="0057205A">
        <w:rPr>
          <w:rFonts w:ascii="Calibri" w:eastAsia="Times New Roman" w:hAnsi="Calibri" w:cs="Calibri"/>
          <w:color w:val="000000" w:themeColor="text1"/>
          <w:sz w:val="22"/>
          <w:szCs w:val="22"/>
          <w:lang w:val="fr-CA" w:eastAsia="fr-CA"/>
        </w:rPr>
        <w:t xml:space="preserve"> selon </w:t>
      </w:r>
      <w:r w:rsidR="00A30A63" w:rsidRPr="0057205A">
        <w:rPr>
          <w:rFonts w:ascii="Calibri" w:eastAsia="Times New Roman" w:hAnsi="Calibri" w:cs="Calibri"/>
          <w:color w:val="000000" w:themeColor="text1"/>
          <w:sz w:val="22"/>
          <w:szCs w:val="22"/>
          <w:lang w:val="fr-CA" w:eastAsia="fr-CA"/>
        </w:rPr>
        <w:t>la</w:t>
      </w:r>
      <w:r w:rsidR="00C1368F" w:rsidRPr="0057205A">
        <w:rPr>
          <w:rFonts w:ascii="Calibri" w:eastAsia="Times New Roman" w:hAnsi="Calibri" w:cs="Calibri"/>
          <w:color w:val="000000" w:themeColor="text1"/>
          <w:sz w:val="22"/>
          <w:szCs w:val="22"/>
          <w:lang w:val="fr-CA" w:eastAsia="fr-CA"/>
        </w:rPr>
        <w:t xml:space="preserve"> </w:t>
      </w:r>
      <w:r w:rsidR="004326F1" w:rsidRPr="0057205A">
        <w:rPr>
          <w:rFonts w:ascii="Calibri" w:eastAsia="Times New Roman" w:hAnsi="Calibri" w:cs="Calibri"/>
          <w:color w:val="000000" w:themeColor="text1"/>
          <w:sz w:val="22"/>
          <w:szCs w:val="22"/>
          <w:lang w:val="fr-CA" w:eastAsia="fr-CA"/>
        </w:rPr>
        <w:t>procédure</w:t>
      </w:r>
      <w:r w:rsidR="00C1368F" w:rsidRPr="0057205A">
        <w:rPr>
          <w:rFonts w:ascii="Calibri" w:eastAsia="Times New Roman" w:hAnsi="Calibri" w:cs="Calibri"/>
          <w:color w:val="000000" w:themeColor="text1"/>
          <w:sz w:val="22"/>
          <w:szCs w:val="22"/>
          <w:lang w:val="fr-CA" w:eastAsia="fr-CA"/>
        </w:rPr>
        <w:t xml:space="preserve"> </w:t>
      </w:r>
      <w:r w:rsidR="00A30A63" w:rsidRPr="0057205A">
        <w:rPr>
          <w:rFonts w:ascii="Calibri" w:eastAsia="Times New Roman" w:hAnsi="Calibri" w:cs="Calibri"/>
          <w:color w:val="000000" w:themeColor="text1"/>
          <w:sz w:val="22"/>
          <w:szCs w:val="22"/>
          <w:lang w:val="fr-CA" w:eastAsia="fr-CA"/>
        </w:rPr>
        <w:t>en vigueur</w:t>
      </w:r>
    </w:p>
    <w:p w14:paraId="562D7E03" w14:textId="68E901DB" w:rsidR="0057205A" w:rsidRPr="0057205A" w:rsidRDefault="00DA0B02" w:rsidP="0057205A">
      <w:pPr>
        <w:spacing w:before="100" w:beforeAutospacing="1" w:after="100" w:afterAutospacing="1" w:line="276" w:lineRule="auto"/>
        <w:jc w:val="both"/>
        <w:rPr>
          <w:rFonts w:ascii="Calibri" w:eastAsia="Times New Roman" w:hAnsi="Calibri" w:cs="Calibri"/>
          <w:color w:val="000000" w:themeColor="text1"/>
          <w:sz w:val="22"/>
          <w:szCs w:val="22"/>
          <w:lang w:val="fr-FR" w:eastAsia="fr-CA"/>
        </w:rPr>
      </w:pPr>
      <w:r w:rsidRPr="0057205A">
        <w:rPr>
          <w:rFonts w:ascii="Calibri" w:eastAsia="Times New Roman" w:hAnsi="Calibri" w:cs="Calibri"/>
          <w:color w:val="000000" w:themeColor="text1"/>
          <w:sz w:val="22"/>
          <w:szCs w:val="22"/>
          <w:lang w:val="fr-CA" w:eastAsia="fr-CA"/>
        </w:rPr>
        <w:t xml:space="preserve">L’annexe V décrit </w:t>
      </w:r>
      <w:r w:rsidR="007C6E88" w:rsidRPr="0057205A">
        <w:rPr>
          <w:rFonts w:ascii="Calibri" w:eastAsia="Times New Roman" w:hAnsi="Calibri" w:cs="Calibri"/>
          <w:color w:val="000000" w:themeColor="text1"/>
          <w:sz w:val="22"/>
          <w:szCs w:val="22"/>
          <w:lang w:val="fr-CA" w:eastAsia="fr-CA"/>
        </w:rPr>
        <w:t xml:space="preserve">le contenu de la fiche FEIGD et </w:t>
      </w:r>
      <w:r w:rsidRPr="0057205A">
        <w:rPr>
          <w:rFonts w:ascii="Calibri" w:eastAsia="Times New Roman" w:hAnsi="Calibri" w:cs="Calibri"/>
          <w:color w:val="000000" w:themeColor="text1"/>
          <w:sz w:val="22"/>
          <w:szCs w:val="22"/>
          <w:lang w:val="fr-CA" w:eastAsia="fr-CA"/>
        </w:rPr>
        <w:t>le</w:t>
      </w:r>
      <w:r w:rsidR="00C95615" w:rsidRPr="0057205A">
        <w:rPr>
          <w:rFonts w:ascii="Calibri" w:eastAsia="Times New Roman" w:hAnsi="Calibri" w:cs="Calibri"/>
          <w:color w:val="000000" w:themeColor="text1"/>
          <w:sz w:val="22"/>
          <w:szCs w:val="22"/>
          <w:lang w:val="fr-CA" w:eastAsia="fr-CA"/>
        </w:rPr>
        <w:t>s modalités de signalement et de déclaration de l’incident chez le Donneur</w:t>
      </w:r>
      <w:r w:rsidRPr="0057205A">
        <w:rPr>
          <w:rFonts w:ascii="Calibri" w:eastAsia="Times New Roman" w:hAnsi="Calibri" w:cs="Calibri"/>
          <w:color w:val="000000" w:themeColor="text1"/>
          <w:sz w:val="22"/>
          <w:szCs w:val="22"/>
          <w:lang w:val="fr-CA" w:eastAsia="fr-CA"/>
        </w:rPr>
        <w:t xml:space="preserve">. </w:t>
      </w:r>
      <w:r w:rsidR="006E5E8C" w:rsidRPr="0057205A">
        <w:rPr>
          <w:rFonts w:ascii="Calibri" w:eastAsia="Times New Roman" w:hAnsi="Calibri" w:cs="Calibri"/>
          <w:color w:val="000000" w:themeColor="text1"/>
          <w:sz w:val="22"/>
          <w:szCs w:val="22"/>
          <w:lang w:val="fr-CA" w:eastAsia="fr-CA"/>
        </w:rPr>
        <w:t>Elle</w:t>
      </w:r>
      <w:r w:rsidRPr="0057205A">
        <w:rPr>
          <w:rFonts w:ascii="Calibri" w:eastAsia="Times New Roman" w:hAnsi="Calibri" w:cs="Calibri"/>
          <w:color w:val="000000" w:themeColor="text1"/>
          <w:sz w:val="22"/>
          <w:szCs w:val="22"/>
          <w:lang w:val="fr-CA" w:eastAsia="fr-CA"/>
        </w:rPr>
        <w:t xml:space="preserve"> </w:t>
      </w:r>
      <w:r w:rsidR="004F0B65" w:rsidRPr="0057205A">
        <w:rPr>
          <w:rFonts w:ascii="Calibri" w:eastAsia="Times New Roman" w:hAnsi="Calibri" w:cs="Calibri"/>
          <w:color w:val="000000" w:themeColor="text1"/>
          <w:sz w:val="22"/>
          <w:szCs w:val="22"/>
          <w:lang w:val="fr-CA" w:eastAsia="fr-CA"/>
        </w:rPr>
        <w:t xml:space="preserve">définit </w:t>
      </w:r>
      <w:r w:rsidR="002C2374" w:rsidRPr="0057205A">
        <w:rPr>
          <w:rFonts w:ascii="Calibri" w:eastAsia="Times New Roman" w:hAnsi="Calibri" w:cs="Calibri"/>
          <w:color w:val="000000" w:themeColor="text1"/>
          <w:sz w:val="22"/>
          <w:szCs w:val="22"/>
          <w:lang w:val="fr-CA" w:eastAsia="fr-CA"/>
        </w:rPr>
        <w:t xml:space="preserve">notamment </w:t>
      </w:r>
      <w:r w:rsidR="004F0B65" w:rsidRPr="0057205A">
        <w:rPr>
          <w:rFonts w:ascii="Calibri" w:eastAsia="Times New Roman" w:hAnsi="Calibri" w:cs="Calibri"/>
          <w:color w:val="000000" w:themeColor="text1"/>
          <w:sz w:val="22"/>
          <w:szCs w:val="22"/>
          <w:lang w:val="fr-CA" w:eastAsia="fr-CA"/>
        </w:rPr>
        <w:t xml:space="preserve">les situations graves </w:t>
      </w:r>
      <w:r w:rsidR="00D40645" w:rsidRPr="0057205A">
        <w:rPr>
          <w:rFonts w:ascii="Calibri" w:eastAsia="Times New Roman" w:hAnsi="Calibri" w:cs="Calibri"/>
          <w:color w:val="000000" w:themeColor="text1"/>
          <w:sz w:val="22"/>
          <w:szCs w:val="22"/>
          <w:lang w:val="fr-CA" w:eastAsia="fr-CA"/>
        </w:rPr>
        <w:t>relatives à l’incident</w:t>
      </w:r>
      <w:r w:rsidR="002C2374" w:rsidRPr="0057205A">
        <w:rPr>
          <w:rFonts w:ascii="Calibri" w:eastAsia="Times New Roman" w:hAnsi="Calibri" w:cs="Calibri"/>
          <w:color w:val="000000" w:themeColor="text1"/>
          <w:sz w:val="22"/>
          <w:szCs w:val="22"/>
          <w:lang w:val="fr-CA" w:eastAsia="fr-CA"/>
        </w:rPr>
        <w:t xml:space="preserve"> qui </w:t>
      </w:r>
      <w:r w:rsidR="00066D18" w:rsidRPr="0057205A">
        <w:rPr>
          <w:rFonts w:ascii="Calibri" w:eastAsia="Times New Roman" w:hAnsi="Calibri" w:cs="Calibri"/>
          <w:color w:val="000000" w:themeColor="text1"/>
          <w:sz w:val="22"/>
          <w:szCs w:val="22"/>
          <w:lang w:val="fr-CA" w:eastAsia="fr-CA"/>
        </w:rPr>
        <w:t>doivent</w:t>
      </w:r>
      <w:r w:rsidR="004F0B65" w:rsidRPr="0057205A">
        <w:rPr>
          <w:rFonts w:ascii="Calibri" w:eastAsia="Times New Roman" w:hAnsi="Calibri" w:cs="Calibri"/>
          <w:color w:val="000000" w:themeColor="text1"/>
          <w:sz w:val="22"/>
          <w:szCs w:val="22"/>
          <w:lang w:val="fr-CA" w:eastAsia="fr-CA"/>
        </w:rPr>
        <w:t xml:space="preserve"> être déclarées</w:t>
      </w:r>
      <w:r w:rsidR="00D247A7" w:rsidRPr="0057205A">
        <w:rPr>
          <w:rFonts w:ascii="Calibri" w:eastAsia="Times New Roman" w:hAnsi="Calibri" w:cs="Calibri"/>
          <w:color w:val="000000" w:themeColor="text1"/>
          <w:sz w:val="22"/>
          <w:szCs w:val="22"/>
          <w:lang w:val="fr-FR" w:eastAsia="fr-CA"/>
        </w:rPr>
        <w:t xml:space="preserve">; et les niveaux d’imputabilité de cet incident. </w:t>
      </w:r>
    </w:p>
    <w:p w14:paraId="07648497" w14:textId="0694DFEA" w:rsidR="00AB67D6" w:rsidRPr="0057205A" w:rsidRDefault="00ED5F28" w:rsidP="0057205A">
      <w:pPr>
        <w:pStyle w:val="NoSpacing"/>
        <w:spacing w:line="276" w:lineRule="auto"/>
        <w:rPr>
          <w:rFonts w:ascii="Calibri" w:hAnsi="Calibri" w:cs="Calibri"/>
          <w:b/>
          <w:bCs/>
          <w:i/>
          <w:iCs/>
          <w:sz w:val="22"/>
          <w:szCs w:val="22"/>
        </w:rPr>
      </w:pPr>
      <w:bookmarkStart w:id="13" w:name="_Toc6"/>
      <w:bookmarkStart w:id="14" w:name="_Toc122018434"/>
      <w:r w:rsidRPr="0057205A">
        <w:rPr>
          <w:rFonts w:ascii="Calibri" w:hAnsi="Calibri" w:cs="Calibri"/>
          <w:b/>
          <w:bCs/>
          <w:i/>
          <w:iCs/>
          <w:sz w:val="22"/>
          <w:szCs w:val="22"/>
        </w:rPr>
        <w:t>VI.</w:t>
      </w:r>
      <w:r w:rsidR="006E5E8C" w:rsidRPr="0057205A">
        <w:rPr>
          <w:rFonts w:ascii="Calibri" w:hAnsi="Calibri" w:cs="Calibri"/>
          <w:b/>
          <w:bCs/>
          <w:i/>
          <w:iCs/>
          <w:sz w:val="22"/>
          <w:szCs w:val="22"/>
        </w:rPr>
        <w:t>3</w:t>
      </w:r>
      <w:r w:rsidR="004F0B65" w:rsidRPr="0057205A">
        <w:rPr>
          <w:rFonts w:ascii="Calibri" w:hAnsi="Calibri" w:cs="Calibri"/>
          <w:b/>
          <w:bCs/>
          <w:i/>
          <w:iCs/>
          <w:sz w:val="22"/>
          <w:szCs w:val="22"/>
        </w:rPr>
        <w:t xml:space="preserve">- </w:t>
      </w:r>
      <w:r w:rsidR="00112AB7" w:rsidRPr="0057205A">
        <w:rPr>
          <w:rFonts w:ascii="Calibri" w:hAnsi="Calibri" w:cs="Calibri"/>
          <w:b/>
          <w:bCs/>
          <w:i/>
          <w:iCs/>
          <w:sz w:val="22"/>
          <w:szCs w:val="22"/>
        </w:rPr>
        <w:t>T</w:t>
      </w:r>
      <w:r w:rsidRPr="0057205A">
        <w:rPr>
          <w:rFonts w:ascii="Calibri" w:hAnsi="Calibri" w:cs="Calibri"/>
          <w:b/>
          <w:bCs/>
          <w:i/>
          <w:iCs/>
          <w:sz w:val="22"/>
          <w:szCs w:val="22"/>
        </w:rPr>
        <w:t>raçabilité</w:t>
      </w:r>
      <w:bookmarkEnd w:id="14"/>
      <w:r w:rsidRPr="0057205A">
        <w:rPr>
          <w:rFonts w:ascii="Calibri" w:hAnsi="Calibri" w:cs="Calibri"/>
          <w:b/>
          <w:bCs/>
          <w:i/>
          <w:iCs/>
          <w:sz w:val="22"/>
          <w:szCs w:val="22"/>
        </w:rPr>
        <w:t xml:space="preserve"> </w:t>
      </w:r>
      <w:bookmarkEnd w:id="13"/>
      <w:r w:rsidR="008B50BB" w:rsidRPr="0057205A">
        <w:rPr>
          <w:rFonts w:ascii="Calibri" w:hAnsi="Calibri" w:cs="Calibri"/>
          <w:b/>
          <w:bCs/>
          <w:i/>
          <w:iCs/>
          <w:sz w:val="22"/>
          <w:szCs w:val="22"/>
        </w:rPr>
        <w:t xml:space="preserve"> </w:t>
      </w:r>
    </w:p>
    <w:p w14:paraId="185EB833" w14:textId="77777777" w:rsidR="0057205A" w:rsidRPr="0057205A" w:rsidRDefault="0057205A" w:rsidP="0057205A">
      <w:pPr>
        <w:pStyle w:val="NoSpacing"/>
        <w:spacing w:line="276" w:lineRule="auto"/>
        <w:rPr>
          <w:rFonts w:ascii="Calibri" w:hAnsi="Calibri" w:cs="Calibri"/>
          <w:b/>
          <w:bCs/>
          <w:i/>
          <w:iCs/>
          <w:sz w:val="22"/>
          <w:szCs w:val="22"/>
        </w:rPr>
      </w:pPr>
    </w:p>
    <w:p w14:paraId="36EBBDDA" w14:textId="04CD4C1B" w:rsidR="004F0B65" w:rsidRPr="0057205A" w:rsidRDefault="00ED5F28" w:rsidP="0057205A">
      <w:pPr>
        <w:pStyle w:val="NoSpacing"/>
        <w:spacing w:line="276" w:lineRule="auto"/>
        <w:rPr>
          <w:rFonts w:ascii="Calibri" w:hAnsi="Calibri" w:cs="Calibri"/>
          <w:i/>
          <w:iCs/>
          <w:color w:val="000000" w:themeColor="text1"/>
          <w:sz w:val="22"/>
          <w:szCs w:val="22"/>
          <w:u w:val="single"/>
          <w:lang w:val="fr-FR"/>
        </w:rPr>
      </w:pPr>
      <w:r w:rsidRPr="0057205A">
        <w:rPr>
          <w:rFonts w:ascii="Calibri" w:hAnsi="Calibri" w:cs="Calibri"/>
          <w:i/>
          <w:iCs/>
          <w:color w:val="000000" w:themeColor="text1"/>
          <w:sz w:val="22"/>
          <w:szCs w:val="22"/>
          <w:u w:val="single"/>
          <w:lang w:val="fr-FR"/>
        </w:rPr>
        <w:t>VI.</w:t>
      </w:r>
      <w:r w:rsidR="006E5E8C" w:rsidRPr="0057205A">
        <w:rPr>
          <w:rFonts w:ascii="Calibri" w:hAnsi="Calibri" w:cs="Calibri"/>
          <w:i/>
          <w:iCs/>
          <w:color w:val="000000" w:themeColor="text1"/>
          <w:sz w:val="22"/>
          <w:szCs w:val="22"/>
          <w:u w:val="single"/>
          <w:lang w:val="fr-FR"/>
        </w:rPr>
        <w:t>3.1-</w:t>
      </w:r>
      <w:r w:rsidRPr="0057205A">
        <w:rPr>
          <w:rFonts w:ascii="Calibri" w:hAnsi="Calibri" w:cs="Calibri"/>
          <w:i/>
          <w:iCs/>
          <w:color w:val="000000" w:themeColor="text1"/>
          <w:sz w:val="22"/>
          <w:szCs w:val="22"/>
          <w:u w:val="single"/>
          <w:lang w:val="fr-FR"/>
        </w:rPr>
        <w:t xml:space="preserve"> Définition</w:t>
      </w:r>
      <w:r w:rsidR="0015674F" w:rsidRPr="0057205A">
        <w:rPr>
          <w:rFonts w:ascii="Calibri" w:hAnsi="Calibri" w:cs="Calibri"/>
          <w:i/>
          <w:iCs/>
          <w:color w:val="000000" w:themeColor="text1"/>
          <w:sz w:val="22"/>
          <w:szCs w:val="22"/>
          <w:u w:val="single"/>
          <w:lang w:val="fr-FR"/>
        </w:rPr>
        <w:t xml:space="preserve"> </w:t>
      </w:r>
      <w:r w:rsidRPr="0057205A">
        <w:rPr>
          <w:rFonts w:ascii="Calibri" w:hAnsi="Calibri" w:cs="Calibri"/>
          <w:i/>
          <w:iCs/>
          <w:color w:val="000000" w:themeColor="text1"/>
          <w:sz w:val="22"/>
          <w:szCs w:val="22"/>
          <w:u w:val="single"/>
          <w:lang w:val="fr-FR"/>
        </w:rPr>
        <w:t>:</w:t>
      </w:r>
    </w:p>
    <w:p w14:paraId="0CDF19BB" w14:textId="76DC5DA7" w:rsidR="000822F7" w:rsidRPr="0057205A" w:rsidRDefault="009A5A13" w:rsidP="0057205A">
      <w:pPr>
        <w:pStyle w:val="Body"/>
        <w:jc w:val="both"/>
        <w:rPr>
          <w:color w:val="000000" w:themeColor="text1"/>
        </w:rPr>
      </w:pPr>
      <w:r w:rsidRPr="0057205A">
        <w:rPr>
          <w:color w:val="000000" w:themeColor="text1"/>
        </w:rPr>
        <w:t>Il s’agit</w:t>
      </w:r>
      <w:r w:rsidR="000822F7" w:rsidRPr="0057205A">
        <w:rPr>
          <w:color w:val="000000" w:themeColor="text1"/>
        </w:rPr>
        <w:t xml:space="preserve"> de la possibilité, à partir d'une identification enregistrée</w:t>
      </w:r>
      <w:r w:rsidR="00123F2C" w:rsidRPr="0057205A">
        <w:rPr>
          <w:color w:val="000000" w:themeColor="text1"/>
        </w:rPr>
        <w:t xml:space="preserve"> </w:t>
      </w:r>
      <w:r w:rsidR="000822F7" w:rsidRPr="0057205A">
        <w:rPr>
          <w:color w:val="000000" w:themeColor="text1"/>
        </w:rPr>
        <w:t>de donneur</w:t>
      </w:r>
      <w:r w:rsidR="008417C7" w:rsidRPr="0057205A">
        <w:rPr>
          <w:color w:val="000000" w:themeColor="text1"/>
        </w:rPr>
        <w:t> :</w:t>
      </w:r>
    </w:p>
    <w:p w14:paraId="65EAE3FD" w14:textId="613D2BA2" w:rsidR="000822F7" w:rsidRPr="0057205A" w:rsidRDefault="009A5A13" w:rsidP="0057205A">
      <w:pPr>
        <w:pStyle w:val="Body"/>
        <w:numPr>
          <w:ilvl w:val="0"/>
          <w:numId w:val="28"/>
        </w:numPr>
        <w:jc w:val="both"/>
        <w:rPr>
          <w:color w:val="000000" w:themeColor="text1"/>
        </w:rPr>
      </w:pPr>
      <w:r w:rsidRPr="0057205A">
        <w:rPr>
          <w:color w:val="000000" w:themeColor="text1"/>
        </w:rPr>
        <w:t>De</w:t>
      </w:r>
      <w:r w:rsidR="00ED5F28" w:rsidRPr="0057205A">
        <w:rPr>
          <w:color w:val="000000" w:themeColor="text1"/>
        </w:rPr>
        <w:t xml:space="preserve"> retrouver rapidement l'historique, l'utilisation ou la localisation d'un produit sanguin sur toutes les étapes de</w:t>
      </w:r>
      <w:r w:rsidR="00E54407" w:rsidRPr="0057205A">
        <w:rPr>
          <w:color w:val="000000" w:themeColor="text1"/>
        </w:rPr>
        <w:t xml:space="preserve"> son prélèvement, de</w:t>
      </w:r>
      <w:r w:rsidR="00ED5F28" w:rsidRPr="0057205A">
        <w:rPr>
          <w:color w:val="000000" w:themeColor="text1"/>
        </w:rPr>
        <w:t xml:space="preserve"> sa préparation, de sa distribution, </w:t>
      </w:r>
      <w:r w:rsidR="008417C7" w:rsidRPr="0057205A">
        <w:rPr>
          <w:color w:val="000000" w:themeColor="text1"/>
        </w:rPr>
        <w:t>de sa délivrance, et</w:t>
      </w:r>
      <w:r w:rsidR="000822F7" w:rsidRPr="0057205A">
        <w:rPr>
          <w:color w:val="000000" w:themeColor="text1"/>
        </w:rPr>
        <w:t>/</w:t>
      </w:r>
      <w:r w:rsidR="00ED5F28" w:rsidRPr="0057205A">
        <w:rPr>
          <w:color w:val="000000" w:themeColor="text1"/>
        </w:rPr>
        <w:t>ou le</w:t>
      </w:r>
      <w:r w:rsidR="008B50BB" w:rsidRPr="0057205A">
        <w:rPr>
          <w:color w:val="000000" w:themeColor="text1"/>
        </w:rPr>
        <w:t xml:space="preserve"> (s) </w:t>
      </w:r>
      <w:r w:rsidR="008417C7" w:rsidRPr="0057205A">
        <w:rPr>
          <w:color w:val="000000" w:themeColor="text1"/>
        </w:rPr>
        <w:t xml:space="preserve">receveur </w:t>
      </w:r>
      <w:r w:rsidR="008B50BB" w:rsidRPr="0057205A">
        <w:rPr>
          <w:color w:val="000000" w:themeColor="text1"/>
        </w:rPr>
        <w:t>(s)</w:t>
      </w:r>
      <w:r w:rsidR="00ED5F28" w:rsidRPr="0057205A">
        <w:rPr>
          <w:color w:val="000000" w:themeColor="text1"/>
        </w:rPr>
        <w:t xml:space="preserve"> au</w:t>
      </w:r>
      <w:r w:rsidR="008B50BB" w:rsidRPr="0057205A">
        <w:rPr>
          <w:color w:val="000000" w:themeColor="text1"/>
        </w:rPr>
        <w:t xml:space="preserve"> (x) </w:t>
      </w:r>
      <w:r w:rsidR="00ED5F28" w:rsidRPr="0057205A">
        <w:rPr>
          <w:color w:val="000000" w:themeColor="text1"/>
        </w:rPr>
        <w:t>quel</w:t>
      </w:r>
      <w:r w:rsidR="008B50BB" w:rsidRPr="0057205A">
        <w:rPr>
          <w:color w:val="000000" w:themeColor="text1"/>
        </w:rPr>
        <w:t xml:space="preserve"> (s)</w:t>
      </w:r>
      <w:r w:rsidR="00ED5F28" w:rsidRPr="0057205A">
        <w:rPr>
          <w:color w:val="000000" w:themeColor="text1"/>
        </w:rPr>
        <w:t xml:space="preserve"> il a été administré. </w:t>
      </w:r>
    </w:p>
    <w:p w14:paraId="7F393E91" w14:textId="77777777" w:rsidR="000822F7" w:rsidRPr="0057205A" w:rsidRDefault="000822F7" w:rsidP="0057205A">
      <w:pPr>
        <w:pStyle w:val="Body"/>
        <w:jc w:val="both"/>
        <w:rPr>
          <w:color w:val="000000" w:themeColor="text1"/>
        </w:rPr>
      </w:pPr>
      <w:r w:rsidRPr="0057205A">
        <w:rPr>
          <w:color w:val="000000" w:themeColor="text1"/>
        </w:rPr>
        <w:t>Il s'agit de la possibilité, à partir d'une identification enregistrée de receveur</w:t>
      </w:r>
      <w:r w:rsidR="008417C7" w:rsidRPr="0057205A">
        <w:rPr>
          <w:color w:val="000000" w:themeColor="text1"/>
        </w:rPr>
        <w:t> :</w:t>
      </w:r>
    </w:p>
    <w:p w14:paraId="522242D3" w14:textId="4157BC43" w:rsidR="008417C7" w:rsidRPr="0057205A" w:rsidRDefault="009A5A13" w:rsidP="0057205A">
      <w:pPr>
        <w:pStyle w:val="Body"/>
        <w:numPr>
          <w:ilvl w:val="0"/>
          <w:numId w:val="28"/>
        </w:numPr>
        <w:jc w:val="both"/>
        <w:rPr>
          <w:color w:val="000000" w:themeColor="text1"/>
        </w:rPr>
      </w:pPr>
      <w:r w:rsidRPr="0057205A">
        <w:rPr>
          <w:color w:val="000000" w:themeColor="text1"/>
        </w:rPr>
        <w:t>De</w:t>
      </w:r>
      <w:r w:rsidR="000822F7" w:rsidRPr="0057205A">
        <w:rPr>
          <w:color w:val="000000" w:themeColor="text1"/>
        </w:rPr>
        <w:t xml:space="preserve"> retrouver rapidement l'</w:t>
      </w:r>
      <w:r w:rsidR="005B7E76" w:rsidRPr="0057205A">
        <w:rPr>
          <w:color w:val="000000" w:themeColor="text1"/>
        </w:rPr>
        <w:t xml:space="preserve">historique, de </w:t>
      </w:r>
      <w:r w:rsidR="000822F7" w:rsidRPr="0057205A">
        <w:rPr>
          <w:color w:val="000000" w:themeColor="text1"/>
        </w:rPr>
        <w:t>toutes les étapes d</w:t>
      </w:r>
      <w:r w:rsidR="005B7E76" w:rsidRPr="0057205A">
        <w:rPr>
          <w:color w:val="000000" w:themeColor="text1"/>
        </w:rPr>
        <w:t>u</w:t>
      </w:r>
      <w:r w:rsidR="000822F7" w:rsidRPr="0057205A">
        <w:rPr>
          <w:color w:val="000000" w:themeColor="text1"/>
        </w:rPr>
        <w:t xml:space="preserve"> prélèvement, de </w:t>
      </w:r>
      <w:r w:rsidR="005B7E76" w:rsidRPr="0057205A">
        <w:rPr>
          <w:color w:val="000000" w:themeColor="text1"/>
        </w:rPr>
        <w:t xml:space="preserve">la </w:t>
      </w:r>
      <w:r w:rsidR="000822F7" w:rsidRPr="0057205A">
        <w:rPr>
          <w:color w:val="000000" w:themeColor="text1"/>
        </w:rPr>
        <w:t xml:space="preserve">préparation, de </w:t>
      </w:r>
      <w:r w:rsidR="005B7E76" w:rsidRPr="0057205A">
        <w:rPr>
          <w:color w:val="000000" w:themeColor="text1"/>
        </w:rPr>
        <w:t xml:space="preserve">la </w:t>
      </w:r>
      <w:r w:rsidR="000822F7" w:rsidRPr="0057205A">
        <w:rPr>
          <w:color w:val="000000" w:themeColor="text1"/>
        </w:rPr>
        <w:t xml:space="preserve">distribution, de </w:t>
      </w:r>
      <w:r w:rsidR="005B7E76" w:rsidRPr="0057205A">
        <w:rPr>
          <w:color w:val="000000" w:themeColor="text1"/>
        </w:rPr>
        <w:t xml:space="preserve">la </w:t>
      </w:r>
      <w:r w:rsidR="000822F7" w:rsidRPr="0057205A">
        <w:rPr>
          <w:color w:val="000000" w:themeColor="text1"/>
        </w:rPr>
        <w:t>délivrance</w:t>
      </w:r>
      <w:r w:rsidR="005B7E76" w:rsidRPr="0057205A">
        <w:rPr>
          <w:color w:val="000000" w:themeColor="text1"/>
        </w:rPr>
        <w:t xml:space="preserve"> du produit sanguin</w:t>
      </w:r>
      <w:r w:rsidR="008417C7" w:rsidRPr="0057205A">
        <w:rPr>
          <w:color w:val="000000" w:themeColor="text1"/>
        </w:rPr>
        <w:t>, et</w:t>
      </w:r>
      <w:r w:rsidR="000822F7" w:rsidRPr="0057205A">
        <w:rPr>
          <w:color w:val="000000" w:themeColor="text1"/>
        </w:rPr>
        <w:t>/ou le (s)</w:t>
      </w:r>
      <w:r w:rsidR="008417C7" w:rsidRPr="0057205A">
        <w:rPr>
          <w:color w:val="000000" w:themeColor="text1"/>
        </w:rPr>
        <w:t xml:space="preserve"> </w:t>
      </w:r>
      <w:r w:rsidR="000822F7" w:rsidRPr="0057205A">
        <w:rPr>
          <w:color w:val="000000" w:themeColor="text1"/>
        </w:rPr>
        <w:t xml:space="preserve">donneur (s) au (x) quel (s) il a été prélevé. </w:t>
      </w:r>
    </w:p>
    <w:p w14:paraId="076A8620" w14:textId="77777777" w:rsidR="00F75374" w:rsidRPr="0057205A" w:rsidRDefault="00F75374" w:rsidP="0057205A">
      <w:pPr>
        <w:pStyle w:val="Body"/>
        <w:spacing w:after="0"/>
        <w:ind w:left="644"/>
        <w:jc w:val="both"/>
        <w:rPr>
          <w:color w:val="000000" w:themeColor="text1"/>
        </w:rPr>
      </w:pPr>
    </w:p>
    <w:p w14:paraId="1CA83B90" w14:textId="77777777" w:rsidR="000430F1" w:rsidRPr="0057205A" w:rsidRDefault="00ED5F28" w:rsidP="0057205A">
      <w:pPr>
        <w:pStyle w:val="NoSpacing"/>
        <w:spacing w:line="276" w:lineRule="auto"/>
        <w:rPr>
          <w:rFonts w:ascii="Calibri" w:hAnsi="Calibri" w:cs="Calibri"/>
          <w:i/>
          <w:iCs/>
          <w:color w:val="000000" w:themeColor="text1"/>
          <w:sz w:val="22"/>
          <w:szCs w:val="22"/>
          <w:u w:val="single"/>
          <w:lang w:val="fr-FR"/>
        </w:rPr>
      </w:pPr>
      <w:r w:rsidRPr="0057205A">
        <w:rPr>
          <w:rFonts w:ascii="Calibri" w:hAnsi="Calibri" w:cs="Calibri"/>
          <w:i/>
          <w:iCs/>
          <w:color w:val="000000" w:themeColor="text1"/>
          <w:sz w:val="22"/>
          <w:szCs w:val="22"/>
          <w:u w:val="single"/>
          <w:lang w:val="fr-FR"/>
        </w:rPr>
        <w:t>VI.</w:t>
      </w:r>
      <w:r w:rsidR="006E5E8C" w:rsidRPr="0057205A">
        <w:rPr>
          <w:rFonts w:ascii="Calibri" w:hAnsi="Calibri" w:cs="Calibri"/>
          <w:i/>
          <w:iCs/>
          <w:color w:val="000000" w:themeColor="text1"/>
          <w:sz w:val="22"/>
          <w:szCs w:val="22"/>
          <w:u w:val="single"/>
          <w:lang w:val="fr-FR"/>
        </w:rPr>
        <w:t>3</w:t>
      </w:r>
      <w:r w:rsidRPr="0057205A">
        <w:rPr>
          <w:rFonts w:ascii="Calibri" w:hAnsi="Calibri" w:cs="Calibri"/>
          <w:i/>
          <w:iCs/>
          <w:color w:val="000000" w:themeColor="text1"/>
          <w:sz w:val="22"/>
          <w:szCs w:val="22"/>
          <w:u w:val="single"/>
          <w:lang w:val="fr-FR"/>
        </w:rPr>
        <w:t>.2</w:t>
      </w:r>
      <w:r w:rsidR="006E5E8C" w:rsidRPr="0057205A">
        <w:rPr>
          <w:rFonts w:ascii="Calibri" w:hAnsi="Calibri" w:cs="Calibri"/>
          <w:i/>
          <w:iCs/>
          <w:color w:val="000000" w:themeColor="text1"/>
          <w:sz w:val="22"/>
          <w:szCs w:val="22"/>
          <w:u w:val="single"/>
          <w:lang w:val="fr-FR"/>
        </w:rPr>
        <w:t>-</w:t>
      </w:r>
      <w:r w:rsidRPr="0057205A">
        <w:rPr>
          <w:rFonts w:ascii="Calibri" w:hAnsi="Calibri" w:cs="Calibri"/>
          <w:i/>
          <w:iCs/>
          <w:color w:val="000000" w:themeColor="text1"/>
          <w:sz w:val="22"/>
          <w:szCs w:val="22"/>
          <w:u w:val="single"/>
          <w:lang w:val="fr-FR"/>
        </w:rPr>
        <w:t xml:space="preserve"> Objectif</w:t>
      </w:r>
      <w:r w:rsidR="0015674F" w:rsidRPr="0057205A">
        <w:rPr>
          <w:rFonts w:ascii="Calibri" w:hAnsi="Calibri" w:cs="Calibri"/>
          <w:i/>
          <w:iCs/>
          <w:color w:val="000000" w:themeColor="text1"/>
          <w:sz w:val="22"/>
          <w:szCs w:val="22"/>
          <w:u w:val="single"/>
          <w:lang w:val="fr-FR"/>
        </w:rPr>
        <w:t xml:space="preserve"> </w:t>
      </w:r>
      <w:r w:rsidRPr="0057205A">
        <w:rPr>
          <w:rFonts w:ascii="Calibri" w:hAnsi="Calibri" w:cs="Calibri"/>
          <w:i/>
          <w:iCs/>
          <w:color w:val="000000" w:themeColor="text1"/>
          <w:sz w:val="22"/>
          <w:szCs w:val="22"/>
          <w:u w:val="single"/>
          <w:lang w:val="fr-FR"/>
        </w:rPr>
        <w:t>:</w:t>
      </w:r>
    </w:p>
    <w:p w14:paraId="7D01D727" w14:textId="77777777" w:rsidR="000430F1" w:rsidRPr="0057205A" w:rsidRDefault="00ED5F28" w:rsidP="0057205A">
      <w:pPr>
        <w:pStyle w:val="Body"/>
        <w:spacing w:before="100" w:after="100"/>
        <w:jc w:val="both"/>
        <w:rPr>
          <w:rFonts w:eastAsia="Times New Roman Bold"/>
          <w:color w:val="000000" w:themeColor="text1"/>
        </w:rPr>
      </w:pPr>
      <w:r w:rsidRPr="0057205A">
        <w:rPr>
          <w:color w:val="000000" w:themeColor="text1"/>
        </w:rPr>
        <w:t>L'objectif est de retrouv</w:t>
      </w:r>
      <w:r w:rsidR="00066D18" w:rsidRPr="0057205A">
        <w:rPr>
          <w:color w:val="000000" w:themeColor="text1"/>
        </w:rPr>
        <w:t>er à partir d'une référence</w:t>
      </w:r>
      <w:r w:rsidR="005B7E76" w:rsidRPr="0057205A">
        <w:rPr>
          <w:color w:val="000000" w:themeColor="text1"/>
        </w:rPr>
        <w:t xml:space="preserve"> de produit sanguin </w:t>
      </w:r>
      <w:r w:rsidR="00066D18" w:rsidRPr="0057205A">
        <w:rPr>
          <w:color w:val="000000" w:themeColor="text1"/>
        </w:rPr>
        <w:t xml:space="preserve">le Donneur ou le </w:t>
      </w:r>
      <w:r w:rsidR="00341BC1" w:rsidRPr="0057205A">
        <w:rPr>
          <w:color w:val="000000" w:themeColor="text1"/>
        </w:rPr>
        <w:t xml:space="preserve">Receveur, </w:t>
      </w:r>
      <w:r w:rsidRPr="0057205A">
        <w:rPr>
          <w:color w:val="000000" w:themeColor="text1"/>
        </w:rPr>
        <w:t>par exemple</w:t>
      </w:r>
      <w:r w:rsidR="008B50BB" w:rsidRPr="0057205A">
        <w:rPr>
          <w:color w:val="000000" w:themeColor="text1"/>
        </w:rPr>
        <w:t xml:space="preserve"> </w:t>
      </w:r>
      <w:r w:rsidRPr="0057205A">
        <w:rPr>
          <w:color w:val="000000" w:themeColor="text1"/>
        </w:rPr>
        <w:t>:</w:t>
      </w:r>
    </w:p>
    <w:p w14:paraId="4AA7FD30" w14:textId="77777777" w:rsidR="000430F1" w:rsidRPr="0057205A" w:rsidRDefault="00ED5F28" w:rsidP="0057205A">
      <w:pPr>
        <w:pStyle w:val="Body"/>
        <w:numPr>
          <w:ilvl w:val="0"/>
          <w:numId w:val="21"/>
        </w:numPr>
        <w:spacing w:before="100" w:after="100"/>
        <w:jc w:val="both"/>
        <w:rPr>
          <w:rFonts w:eastAsia="Times New Roman"/>
          <w:color w:val="000000" w:themeColor="text1"/>
        </w:rPr>
      </w:pPr>
      <w:r w:rsidRPr="0057205A">
        <w:rPr>
          <w:color w:val="000000" w:themeColor="text1"/>
        </w:rPr>
        <w:t xml:space="preserve">A la suite de la découverte chez un patient transfusé d'une affection transmissible par voie </w:t>
      </w:r>
      <w:r w:rsidR="00066D18" w:rsidRPr="0057205A">
        <w:rPr>
          <w:color w:val="000000" w:themeColor="text1"/>
        </w:rPr>
        <w:t>transfusionnelle, retrouver le D</w:t>
      </w:r>
      <w:r w:rsidRPr="0057205A">
        <w:rPr>
          <w:color w:val="000000" w:themeColor="text1"/>
        </w:rPr>
        <w:t xml:space="preserve">onneur afin de lui proposer les contrôles et les examens adéquats. </w:t>
      </w:r>
    </w:p>
    <w:p w14:paraId="29A8E465" w14:textId="77777777" w:rsidR="000430F1" w:rsidRPr="0057205A" w:rsidRDefault="00ED5F28" w:rsidP="0057205A">
      <w:pPr>
        <w:pStyle w:val="Body"/>
        <w:numPr>
          <w:ilvl w:val="0"/>
          <w:numId w:val="21"/>
        </w:numPr>
        <w:spacing w:before="100" w:after="100"/>
        <w:jc w:val="both"/>
        <w:rPr>
          <w:rFonts w:eastAsia="Times New Roman"/>
          <w:color w:val="000000" w:themeColor="text1"/>
        </w:rPr>
      </w:pPr>
      <w:r w:rsidRPr="0057205A">
        <w:rPr>
          <w:color w:val="000000" w:themeColor="text1"/>
        </w:rPr>
        <w:t xml:space="preserve">De même, à la </w:t>
      </w:r>
      <w:r w:rsidR="00066D18" w:rsidRPr="0057205A">
        <w:rPr>
          <w:color w:val="000000" w:themeColor="text1"/>
        </w:rPr>
        <w:t>suite de la découverte chez un D</w:t>
      </w:r>
      <w:r w:rsidRPr="0057205A">
        <w:rPr>
          <w:color w:val="000000" w:themeColor="text1"/>
        </w:rPr>
        <w:t>onneur d'une anomalie susceptible</w:t>
      </w:r>
      <w:r w:rsidR="00066D18" w:rsidRPr="0057205A">
        <w:rPr>
          <w:color w:val="000000" w:themeColor="text1"/>
        </w:rPr>
        <w:t xml:space="preserve"> d'entraîner un risque pour le Receveur, retrouver les D</w:t>
      </w:r>
      <w:r w:rsidRPr="0057205A">
        <w:rPr>
          <w:color w:val="000000" w:themeColor="text1"/>
        </w:rPr>
        <w:t xml:space="preserve">ons antérieurs de ce donneur. </w:t>
      </w:r>
      <w:r w:rsidR="00624668" w:rsidRPr="0057205A">
        <w:rPr>
          <w:color w:val="000000" w:themeColor="text1"/>
          <w:shd w:val="clear" w:color="auto" w:fill="FFFFFF" w:themeFill="background1"/>
        </w:rPr>
        <w:t>Il faudra e</w:t>
      </w:r>
      <w:r w:rsidRPr="0057205A">
        <w:rPr>
          <w:color w:val="000000" w:themeColor="text1"/>
          <w:shd w:val="clear" w:color="auto" w:fill="FFFFFF" w:themeFill="background1"/>
        </w:rPr>
        <w:t>nsuite, informer l'ES des cessions de ces produits, qui devra</w:t>
      </w:r>
      <w:r w:rsidRPr="0057205A">
        <w:rPr>
          <w:color w:val="000000" w:themeColor="text1"/>
        </w:rPr>
        <w:t xml:space="preserve"> p</w:t>
      </w:r>
      <w:r w:rsidR="00066D18" w:rsidRPr="0057205A">
        <w:rPr>
          <w:color w:val="000000" w:themeColor="text1"/>
        </w:rPr>
        <w:t>ouvoir retrouver lui aussi les R</w:t>
      </w:r>
      <w:r w:rsidRPr="0057205A">
        <w:rPr>
          <w:color w:val="000000" w:themeColor="text1"/>
        </w:rPr>
        <w:t xml:space="preserve">eceveurs antérieurs afin de leur proposer les contrôles et les examens adéquats. </w:t>
      </w:r>
    </w:p>
    <w:p w14:paraId="4F4EB4E2" w14:textId="77777777" w:rsidR="00066D18" w:rsidRPr="0057205A" w:rsidRDefault="00066D18" w:rsidP="0057205A">
      <w:pPr>
        <w:pStyle w:val="Body"/>
        <w:spacing w:before="100" w:after="0"/>
        <w:ind w:left="720"/>
        <w:jc w:val="both"/>
        <w:rPr>
          <w:rFonts w:eastAsia="Times New Roman"/>
          <w:color w:val="000000" w:themeColor="text1"/>
        </w:rPr>
      </w:pPr>
    </w:p>
    <w:p w14:paraId="197E12CD" w14:textId="77777777" w:rsidR="000430F1" w:rsidRPr="0057205A" w:rsidRDefault="00ED5F28" w:rsidP="0057205A">
      <w:pPr>
        <w:pStyle w:val="NoSpacing"/>
        <w:spacing w:line="276" w:lineRule="auto"/>
        <w:rPr>
          <w:rFonts w:ascii="Calibri" w:hAnsi="Calibri" w:cs="Calibri"/>
          <w:i/>
          <w:iCs/>
          <w:sz w:val="22"/>
          <w:szCs w:val="22"/>
          <w:u w:val="single"/>
          <w:lang w:val="fr-FR"/>
        </w:rPr>
      </w:pPr>
      <w:r w:rsidRPr="0057205A">
        <w:rPr>
          <w:rFonts w:ascii="Calibri" w:hAnsi="Calibri" w:cs="Calibri"/>
          <w:i/>
          <w:iCs/>
          <w:sz w:val="22"/>
          <w:szCs w:val="22"/>
          <w:u w:val="single"/>
          <w:lang w:val="fr-FR"/>
        </w:rPr>
        <w:t>VI.</w:t>
      </w:r>
      <w:r w:rsidR="006E5E8C" w:rsidRPr="0057205A">
        <w:rPr>
          <w:rFonts w:ascii="Calibri" w:hAnsi="Calibri" w:cs="Calibri"/>
          <w:i/>
          <w:iCs/>
          <w:sz w:val="22"/>
          <w:szCs w:val="22"/>
          <w:u w:val="single"/>
          <w:lang w:val="fr-FR"/>
        </w:rPr>
        <w:t>3.3-</w:t>
      </w:r>
      <w:r w:rsidRPr="0057205A">
        <w:rPr>
          <w:rFonts w:ascii="Calibri" w:hAnsi="Calibri" w:cs="Calibri"/>
          <w:i/>
          <w:iCs/>
          <w:sz w:val="22"/>
          <w:szCs w:val="22"/>
          <w:u w:val="single"/>
          <w:lang w:val="fr-FR"/>
        </w:rPr>
        <w:t xml:space="preserve"> Méthode de suivi</w:t>
      </w:r>
      <w:r w:rsidR="005073F4" w:rsidRPr="0057205A">
        <w:rPr>
          <w:rFonts w:ascii="Calibri" w:hAnsi="Calibri" w:cs="Calibri"/>
          <w:i/>
          <w:iCs/>
          <w:sz w:val="22"/>
          <w:szCs w:val="22"/>
          <w:u w:val="single"/>
          <w:lang w:val="fr-FR"/>
        </w:rPr>
        <w:t xml:space="preserve"> </w:t>
      </w:r>
      <w:r w:rsidRPr="0057205A">
        <w:rPr>
          <w:rFonts w:ascii="Calibri" w:hAnsi="Calibri" w:cs="Calibri"/>
          <w:i/>
          <w:iCs/>
          <w:sz w:val="22"/>
          <w:szCs w:val="22"/>
          <w:u w:val="single"/>
          <w:lang w:val="fr-FR"/>
        </w:rPr>
        <w:t>:</w:t>
      </w:r>
    </w:p>
    <w:p w14:paraId="14A40E01" w14:textId="77777777" w:rsidR="000430F1" w:rsidRPr="0057205A" w:rsidRDefault="00ED5F28" w:rsidP="0057205A">
      <w:pPr>
        <w:pStyle w:val="Body"/>
        <w:spacing w:before="100" w:after="100"/>
        <w:jc w:val="both"/>
        <w:rPr>
          <w:rFonts w:eastAsia="Times New Roman"/>
          <w:color w:val="000000" w:themeColor="text1"/>
        </w:rPr>
      </w:pPr>
      <w:r w:rsidRPr="0057205A">
        <w:rPr>
          <w:color w:val="000000" w:themeColor="text1"/>
        </w:rPr>
        <w:t xml:space="preserve">Le suivi </w:t>
      </w:r>
      <w:r w:rsidR="00066D18" w:rsidRPr="0057205A">
        <w:rPr>
          <w:color w:val="000000" w:themeColor="text1"/>
        </w:rPr>
        <w:t>des PSL du D</w:t>
      </w:r>
      <w:r w:rsidR="005073F4" w:rsidRPr="0057205A">
        <w:rPr>
          <w:color w:val="000000" w:themeColor="text1"/>
        </w:rPr>
        <w:t>onneur au R</w:t>
      </w:r>
      <w:r w:rsidRPr="0057205A">
        <w:rPr>
          <w:color w:val="000000" w:themeColor="text1"/>
        </w:rPr>
        <w:t>eceveur exige</w:t>
      </w:r>
      <w:r w:rsidR="003A6245" w:rsidRPr="0057205A">
        <w:rPr>
          <w:color w:val="000000" w:themeColor="text1"/>
        </w:rPr>
        <w:t xml:space="preserve"> </w:t>
      </w:r>
      <w:r w:rsidRPr="0057205A">
        <w:rPr>
          <w:color w:val="000000" w:themeColor="text1"/>
        </w:rPr>
        <w:t xml:space="preserve">: </w:t>
      </w:r>
    </w:p>
    <w:p w14:paraId="74B9F36F" w14:textId="77777777" w:rsidR="000430F1" w:rsidRPr="0057205A" w:rsidRDefault="003A6245" w:rsidP="0057205A">
      <w:pPr>
        <w:pStyle w:val="Body"/>
        <w:spacing w:after="0"/>
        <w:ind w:left="709" w:hanging="425"/>
        <w:jc w:val="both"/>
        <w:rPr>
          <w:rFonts w:eastAsia="Times New Roman"/>
          <w:color w:val="000000" w:themeColor="text1"/>
        </w:rPr>
      </w:pPr>
      <w:r w:rsidRPr="0057205A">
        <w:rPr>
          <w:color w:val="000000" w:themeColor="text1"/>
        </w:rPr>
        <w:t xml:space="preserve"> </w:t>
      </w:r>
      <w:r w:rsidR="00ED5F28" w:rsidRPr="0057205A">
        <w:rPr>
          <w:color w:val="000000" w:themeColor="text1"/>
        </w:rPr>
        <w:t xml:space="preserve">- </w:t>
      </w:r>
      <w:r w:rsidRPr="0057205A">
        <w:rPr>
          <w:color w:val="000000" w:themeColor="text1"/>
        </w:rPr>
        <w:t xml:space="preserve">  L</w:t>
      </w:r>
      <w:r w:rsidR="00ED5F28" w:rsidRPr="0057205A">
        <w:rPr>
          <w:color w:val="000000" w:themeColor="text1"/>
        </w:rPr>
        <w:t xml:space="preserve">'identification du produit sanguin par une référence numérique </w:t>
      </w:r>
      <w:r w:rsidR="00624668" w:rsidRPr="0057205A">
        <w:rPr>
          <w:color w:val="000000" w:themeColor="text1"/>
          <w:shd w:val="clear" w:color="auto" w:fill="FFFFFF" w:themeFill="background1"/>
        </w:rPr>
        <w:t xml:space="preserve">unique </w:t>
      </w:r>
      <w:r w:rsidR="00ED5F28" w:rsidRPr="0057205A">
        <w:rPr>
          <w:color w:val="000000" w:themeColor="text1"/>
        </w:rPr>
        <w:t>que le CTS attribue conform</w:t>
      </w:r>
      <w:r w:rsidRPr="0057205A">
        <w:rPr>
          <w:color w:val="000000" w:themeColor="text1"/>
        </w:rPr>
        <w:t>ément à la législation en cours.</w:t>
      </w:r>
    </w:p>
    <w:p w14:paraId="1CBCD692" w14:textId="77777777" w:rsidR="000430F1" w:rsidRPr="0057205A" w:rsidRDefault="003A6245" w:rsidP="0057205A">
      <w:pPr>
        <w:pStyle w:val="Body"/>
        <w:spacing w:after="0"/>
        <w:ind w:left="709" w:hanging="425"/>
        <w:jc w:val="both"/>
        <w:rPr>
          <w:color w:val="000000" w:themeColor="text1"/>
        </w:rPr>
      </w:pPr>
      <w:r w:rsidRPr="0057205A">
        <w:rPr>
          <w:color w:val="000000" w:themeColor="text1"/>
        </w:rPr>
        <w:t xml:space="preserve"> </w:t>
      </w:r>
      <w:r w:rsidR="00ED5F28" w:rsidRPr="0057205A">
        <w:rPr>
          <w:color w:val="000000" w:themeColor="text1"/>
        </w:rPr>
        <w:t xml:space="preserve">- </w:t>
      </w:r>
      <w:r w:rsidRPr="0057205A">
        <w:rPr>
          <w:color w:val="000000" w:themeColor="text1"/>
        </w:rPr>
        <w:t xml:space="preserve">  U</w:t>
      </w:r>
      <w:r w:rsidR="00ED5F28" w:rsidRPr="0057205A">
        <w:rPr>
          <w:color w:val="000000" w:themeColor="text1"/>
        </w:rPr>
        <w:t>ne distribution nominative des produi</w:t>
      </w:r>
      <w:r w:rsidR="005073F4" w:rsidRPr="0057205A">
        <w:rPr>
          <w:color w:val="000000" w:themeColor="text1"/>
        </w:rPr>
        <w:t xml:space="preserve">ts sanguins : </w:t>
      </w:r>
      <w:r w:rsidR="00ED5F28" w:rsidRPr="0057205A">
        <w:rPr>
          <w:color w:val="000000" w:themeColor="text1"/>
        </w:rPr>
        <w:t xml:space="preserve">il est rappelé que la délivrance de </w:t>
      </w:r>
      <w:r w:rsidR="005073F4" w:rsidRPr="0057205A">
        <w:rPr>
          <w:color w:val="000000" w:themeColor="text1"/>
        </w:rPr>
        <w:t xml:space="preserve">chaque </w:t>
      </w:r>
      <w:r w:rsidR="00ED5F28" w:rsidRPr="0057205A">
        <w:rPr>
          <w:color w:val="000000" w:themeColor="text1"/>
        </w:rPr>
        <w:t>produit sanguin se fait uniquement sur prescription médicale nominative</w:t>
      </w:r>
      <w:r w:rsidR="00112AB7" w:rsidRPr="0057205A">
        <w:rPr>
          <w:color w:val="000000" w:themeColor="text1"/>
        </w:rPr>
        <w:t xml:space="preserve"> </w:t>
      </w:r>
      <w:r w:rsidR="00ED5F28" w:rsidRPr="0057205A">
        <w:rPr>
          <w:color w:val="000000" w:themeColor="text1"/>
        </w:rPr>
        <w:t xml:space="preserve">; la </w:t>
      </w:r>
      <w:r w:rsidR="00ED5F28" w:rsidRPr="0057205A">
        <w:rPr>
          <w:color w:val="000000" w:themeColor="text1"/>
        </w:rPr>
        <w:lastRenderedPageBreak/>
        <w:t xml:space="preserve">distribution doit permettre d'identifier, pour chaque produit sanguin délivré, le médecin </w:t>
      </w:r>
      <w:r w:rsidR="00341BC1" w:rsidRPr="0057205A">
        <w:rPr>
          <w:color w:val="000000" w:themeColor="text1"/>
        </w:rPr>
        <w:t>prescripteur, le</w:t>
      </w:r>
      <w:r w:rsidR="00F75374" w:rsidRPr="0057205A">
        <w:rPr>
          <w:color w:val="000000" w:themeColor="text1"/>
        </w:rPr>
        <w:t xml:space="preserve"> patient concerné</w:t>
      </w:r>
      <w:r w:rsidR="00ED5F28" w:rsidRPr="0057205A">
        <w:rPr>
          <w:color w:val="000000" w:themeColor="text1"/>
        </w:rPr>
        <w:t xml:space="preserve"> </w:t>
      </w:r>
      <w:r w:rsidR="005B7E76" w:rsidRPr="0057205A">
        <w:rPr>
          <w:color w:val="000000" w:themeColor="text1"/>
        </w:rPr>
        <w:t>e</w:t>
      </w:r>
      <w:r w:rsidR="00341BC1" w:rsidRPr="0057205A">
        <w:rPr>
          <w:color w:val="000000" w:themeColor="text1"/>
        </w:rPr>
        <w:t>t l’établissement de soin</w:t>
      </w:r>
      <w:r w:rsidR="00F75374" w:rsidRPr="0057205A">
        <w:rPr>
          <w:color w:val="000000" w:themeColor="text1"/>
        </w:rPr>
        <w:t>.</w:t>
      </w:r>
    </w:p>
    <w:p w14:paraId="13807296" w14:textId="77777777" w:rsidR="00BA60FF" w:rsidRPr="0057205A" w:rsidRDefault="00BA60FF" w:rsidP="0057205A">
      <w:pPr>
        <w:pStyle w:val="Body"/>
        <w:spacing w:after="0"/>
        <w:ind w:left="709" w:hanging="425"/>
        <w:jc w:val="both"/>
        <w:rPr>
          <w:rFonts w:eastAsia="Times New Roman"/>
          <w:color w:val="000000" w:themeColor="text1"/>
        </w:rPr>
      </w:pPr>
    </w:p>
    <w:p w14:paraId="41B8AC46" w14:textId="6ADB3F85" w:rsidR="009A4783" w:rsidRPr="0057205A" w:rsidRDefault="00ED5F28" w:rsidP="0057205A">
      <w:pPr>
        <w:pStyle w:val="NoSpacing"/>
        <w:spacing w:line="276" w:lineRule="auto"/>
        <w:rPr>
          <w:rFonts w:ascii="Calibri" w:hAnsi="Calibri" w:cs="Calibri"/>
          <w:i/>
          <w:iCs/>
          <w:sz w:val="22"/>
          <w:szCs w:val="22"/>
          <w:u w:val="single"/>
          <w:lang w:val="fr-FR"/>
        </w:rPr>
      </w:pPr>
      <w:r w:rsidRPr="0057205A">
        <w:rPr>
          <w:rFonts w:ascii="Calibri" w:hAnsi="Calibri" w:cs="Calibri"/>
          <w:i/>
          <w:iCs/>
          <w:sz w:val="22"/>
          <w:szCs w:val="22"/>
          <w:u w:val="single"/>
          <w:lang w:val="fr-FR"/>
        </w:rPr>
        <w:t>VI</w:t>
      </w:r>
      <w:r w:rsidR="006E5E8C" w:rsidRPr="0057205A">
        <w:rPr>
          <w:rFonts w:ascii="Calibri" w:hAnsi="Calibri" w:cs="Calibri"/>
          <w:i/>
          <w:iCs/>
          <w:sz w:val="22"/>
          <w:szCs w:val="22"/>
          <w:u w:val="single"/>
          <w:lang w:val="fr-FR"/>
        </w:rPr>
        <w:t>.3</w:t>
      </w:r>
      <w:r w:rsidRPr="0057205A">
        <w:rPr>
          <w:rFonts w:ascii="Calibri" w:hAnsi="Calibri" w:cs="Calibri"/>
          <w:i/>
          <w:iCs/>
          <w:sz w:val="22"/>
          <w:szCs w:val="22"/>
          <w:u w:val="single"/>
          <w:lang w:val="fr-FR"/>
        </w:rPr>
        <w:t>.</w:t>
      </w:r>
      <w:r w:rsidR="006E5E8C" w:rsidRPr="0057205A">
        <w:rPr>
          <w:rFonts w:ascii="Calibri" w:hAnsi="Calibri" w:cs="Calibri"/>
          <w:i/>
          <w:iCs/>
          <w:sz w:val="22"/>
          <w:szCs w:val="22"/>
          <w:u w:val="single"/>
          <w:lang w:val="fr-FR"/>
        </w:rPr>
        <w:t>4-</w:t>
      </w:r>
      <w:r w:rsidRPr="0057205A">
        <w:rPr>
          <w:rFonts w:ascii="Calibri" w:hAnsi="Calibri" w:cs="Calibri"/>
          <w:i/>
          <w:iCs/>
          <w:sz w:val="22"/>
          <w:szCs w:val="22"/>
          <w:u w:val="single"/>
          <w:lang w:val="fr-FR"/>
        </w:rPr>
        <w:t xml:space="preserve"> </w:t>
      </w:r>
      <w:r w:rsidR="00042093" w:rsidRPr="0057205A">
        <w:rPr>
          <w:rFonts w:ascii="Calibri" w:hAnsi="Calibri" w:cs="Calibri"/>
          <w:i/>
          <w:iCs/>
          <w:sz w:val="22"/>
          <w:szCs w:val="22"/>
          <w:u w:val="single"/>
          <w:lang w:val="fr-FR"/>
        </w:rPr>
        <w:t>Cas particulier</w:t>
      </w:r>
      <w:r w:rsidR="00384CAA" w:rsidRPr="0057205A">
        <w:rPr>
          <w:rFonts w:ascii="Calibri" w:hAnsi="Calibri" w:cs="Calibri"/>
          <w:i/>
          <w:iCs/>
          <w:sz w:val="22"/>
          <w:szCs w:val="22"/>
          <w:u w:val="single"/>
          <w:lang w:val="fr-FR"/>
        </w:rPr>
        <w:t xml:space="preserve"> : </w:t>
      </w:r>
      <w:r w:rsidR="00112AB7" w:rsidRPr="0057205A">
        <w:rPr>
          <w:rFonts w:ascii="Calibri" w:hAnsi="Calibri" w:cs="Calibri"/>
          <w:i/>
          <w:iCs/>
          <w:sz w:val="22"/>
          <w:szCs w:val="22"/>
          <w:u w:val="single"/>
          <w:lang w:val="fr-FR"/>
        </w:rPr>
        <w:t>A</w:t>
      </w:r>
      <w:r w:rsidRPr="0057205A">
        <w:rPr>
          <w:rFonts w:ascii="Calibri" w:hAnsi="Calibri" w:cs="Calibri"/>
          <w:i/>
          <w:iCs/>
          <w:sz w:val="22"/>
          <w:szCs w:val="22"/>
          <w:u w:val="single"/>
          <w:lang w:val="fr-FR"/>
        </w:rPr>
        <w:t>pprovisionnement</w:t>
      </w:r>
      <w:r w:rsidR="005073F4" w:rsidRPr="0057205A">
        <w:rPr>
          <w:rFonts w:ascii="Calibri" w:hAnsi="Calibri" w:cs="Calibri"/>
          <w:i/>
          <w:iCs/>
          <w:sz w:val="22"/>
          <w:szCs w:val="22"/>
          <w:u w:val="single"/>
          <w:lang w:val="fr-FR"/>
        </w:rPr>
        <w:t xml:space="preserve"> </w:t>
      </w:r>
      <w:r w:rsidR="00042093" w:rsidRPr="0057205A">
        <w:rPr>
          <w:rFonts w:ascii="Calibri" w:hAnsi="Calibri" w:cs="Calibri"/>
          <w:i/>
          <w:iCs/>
          <w:sz w:val="22"/>
          <w:szCs w:val="22"/>
          <w:u w:val="single"/>
          <w:lang w:val="fr-FR"/>
        </w:rPr>
        <w:t>en PSL auprès d’un CTS référent (distributeur</w:t>
      </w:r>
      <w:r w:rsidR="0057205A" w:rsidRPr="0057205A">
        <w:rPr>
          <w:rFonts w:ascii="Calibri" w:hAnsi="Calibri" w:cs="Calibri"/>
          <w:i/>
          <w:iCs/>
          <w:sz w:val="22"/>
          <w:szCs w:val="22"/>
          <w:u w:val="single"/>
          <w:lang w:val="fr-FR"/>
        </w:rPr>
        <w:t>) :</w:t>
      </w:r>
    </w:p>
    <w:p w14:paraId="64B5D3B7" w14:textId="3820BEAC" w:rsidR="005073F4" w:rsidRPr="0057205A" w:rsidRDefault="00042093" w:rsidP="0057205A">
      <w:pPr>
        <w:pStyle w:val="Body"/>
        <w:spacing w:after="120"/>
        <w:jc w:val="both"/>
        <w:rPr>
          <w:color w:val="000000" w:themeColor="text1"/>
        </w:rPr>
      </w:pPr>
      <w:r w:rsidRPr="0057205A">
        <w:rPr>
          <w:color w:val="000000" w:themeColor="text1"/>
        </w:rPr>
        <w:t>Dans ce ca</w:t>
      </w:r>
      <w:r w:rsidR="00384CAA" w:rsidRPr="0057205A">
        <w:rPr>
          <w:color w:val="000000" w:themeColor="text1"/>
        </w:rPr>
        <w:t xml:space="preserve">s, </w:t>
      </w:r>
      <w:r w:rsidR="00ED5F28" w:rsidRPr="0057205A">
        <w:rPr>
          <w:color w:val="000000" w:themeColor="text1"/>
        </w:rPr>
        <w:t xml:space="preserve">il est obligatoire pour chaque ES, public ou privé, de </w:t>
      </w:r>
      <w:r w:rsidRPr="0057205A">
        <w:rPr>
          <w:color w:val="000000" w:themeColor="text1"/>
        </w:rPr>
        <w:t xml:space="preserve">signer une convention avec le CTS référent et veiller à assurer la traçabilité des PSL et </w:t>
      </w:r>
      <w:r w:rsidR="00CD64CD" w:rsidRPr="0057205A">
        <w:rPr>
          <w:color w:val="000000" w:themeColor="text1"/>
        </w:rPr>
        <w:t>à</w:t>
      </w:r>
      <w:r w:rsidRPr="0057205A">
        <w:rPr>
          <w:color w:val="000000" w:themeColor="text1"/>
        </w:rPr>
        <w:t xml:space="preserve"> respecter les règles d’HV nationales</w:t>
      </w:r>
    </w:p>
    <w:p w14:paraId="2E880EF7" w14:textId="77777777" w:rsidR="004B601C" w:rsidRPr="0057205A" w:rsidRDefault="004B601C" w:rsidP="0057205A">
      <w:pPr>
        <w:pStyle w:val="Body"/>
        <w:spacing w:after="120"/>
        <w:jc w:val="both"/>
        <w:rPr>
          <w:color w:val="000000" w:themeColor="text1"/>
        </w:rPr>
      </w:pPr>
    </w:p>
    <w:p w14:paraId="34B2DA65" w14:textId="1102DBB4" w:rsidR="000430F1" w:rsidRPr="0057205A" w:rsidRDefault="006E5E8C" w:rsidP="0057205A">
      <w:pPr>
        <w:pStyle w:val="NoSpacing"/>
        <w:spacing w:line="276" w:lineRule="auto"/>
        <w:rPr>
          <w:rFonts w:ascii="Calibri" w:hAnsi="Calibri" w:cs="Calibri"/>
          <w:i/>
          <w:iCs/>
          <w:sz w:val="22"/>
          <w:szCs w:val="22"/>
          <w:u w:val="single"/>
          <w:lang w:val="fr-FR"/>
        </w:rPr>
      </w:pPr>
      <w:r w:rsidRPr="0057205A">
        <w:rPr>
          <w:rFonts w:ascii="Calibri" w:hAnsi="Calibri" w:cs="Calibri"/>
          <w:i/>
          <w:iCs/>
          <w:sz w:val="22"/>
          <w:szCs w:val="22"/>
          <w:u w:val="single"/>
          <w:lang w:val="fr-FR"/>
        </w:rPr>
        <w:t>VI.3.5-</w:t>
      </w:r>
      <w:r w:rsidR="00ED5F28" w:rsidRPr="0057205A">
        <w:rPr>
          <w:rFonts w:ascii="Calibri" w:hAnsi="Calibri" w:cs="Calibri"/>
          <w:i/>
          <w:iCs/>
          <w:sz w:val="22"/>
          <w:szCs w:val="22"/>
          <w:u w:val="single"/>
          <w:lang w:val="fr-FR"/>
        </w:rPr>
        <w:t xml:space="preserve"> </w:t>
      </w:r>
      <w:r w:rsidR="00112AB7" w:rsidRPr="0057205A">
        <w:rPr>
          <w:rFonts w:ascii="Calibri" w:hAnsi="Calibri" w:cs="Calibri"/>
          <w:i/>
          <w:iCs/>
          <w:sz w:val="22"/>
          <w:szCs w:val="22"/>
          <w:u w:val="single"/>
          <w:lang w:val="fr-FR"/>
        </w:rPr>
        <w:t>O</w:t>
      </w:r>
      <w:r w:rsidR="00ED5F28" w:rsidRPr="0057205A">
        <w:rPr>
          <w:rFonts w:ascii="Calibri" w:hAnsi="Calibri" w:cs="Calibri"/>
          <w:i/>
          <w:iCs/>
          <w:sz w:val="22"/>
          <w:szCs w:val="22"/>
          <w:u w:val="single"/>
          <w:lang w:val="fr-FR"/>
        </w:rPr>
        <w:t>bligation</w:t>
      </w:r>
      <w:r w:rsidR="00112AB7" w:rsidRPr="0057205A">
        <w:rPr>
          <w:rFonts w:ascii="Calibri" w:hAnsi="Calibri" w:cs="Calibri"/>
          <w:i/>
          <w:iCs/>
          <w:sz w:val="22"/>
          <w:szCs w:val="22"/>
          <w:u w:val="single"/>
          <w:lang w:val="fr-FR"/>
        </w:rPr>
        <w:t>s</w:t>
      </w:r>
      <w:r w:rsidR="00ED5F28" w:rsidRPr="0057205A">
        <w:rPr>
          <w:rFonts w:ascii="Calibri" w:hAnsi="Calibri" w:cs="Calibri"/>
          <w:i/>
          <w:iCs/>
          <w:sz w:val="22"/>
          <w:szCs w:val="22"/>
          <w:u w:val="single"/>
          <w:lang w:val="fr-FR"/>
        </w:rPr>
        <w:t xml:space="preserve"> des ES et </w:t>
      </w:r>
      <w:r w:rsidR="009A5A13" w:rsidRPr="0057205A">
        <w:rPr>
          <w:rFonts w:ascii="Calibri" w:hAnsi="Calibri" w:cs="Calibri"/>
          <w:i/>
          <w:iCs/>
          <w:sz w:val="22"/>
          <w:szCs w:val="22"/>
          <w:u w:val="single"/>
          <w:lang w:val="fr-FR"/>
        </w:rPr>
        <w:t>CTSD :</w:t>
      </w:r>
    </w:p>
    <w:p w14:paraId="4C71252A" w14:textId="653F79D4" w:rsidR="000430F1" w:rsidRPr="0057205A" w:rsidRDefault="00225217" w:rsidP="0057205A">
      <w:pPr>
        <w:pStyle w:val="Body"/>
        <w:spacing w:before="100" w:after="100"/>
        <w:ind w:left="709" w:hanging="425"/>
        <w:jc w:val="both"/>
        <w:rPr>
          <w:rFonts w:eastAsia="Times New Roman"/>
          <w:color w:val="000000" w:themeColor="text1"/>
        </w:rPr>
      </w:pPr>
      <w:r w:rsidRPr="0057205A">
        <w:rPr>
          <w:color w:val="000000" w:themeColor="text1"/>
        </w:rPr>
        <w:t xml:space="preserve"> </w:t>
      </w:r>
      <w:r w:rsidR="00ED5F28" w:rsidRPr="0057205A">
        <w:rPr>
          <w:color w:val="000000" w:themeColor="text1"/>
        </w:rPr>
        <w:t xml:space="preserve">- </w:t>
      </w:r>
      <w:r w:rsidRPr="0057205A">
        <w:rPr>
          <w:color w:val="000000" w:themeColor="text1"/>
        </w:rPr>
        <w:t xml:space="preserve">  </w:t>
      </w:r>
      <w:r w:rsidR="00ED5F28" w:rsidRPr="0057205A">
        <w:rPr>
          <w:color w:val="000000" w:themeColor="text1"/>
        </w:rPr>
        <w:t>L'ES est responsable de communiquer au C</w:t>
      </w:r>
      <w:r w:rsidR="004B601C" w:rsidRPr="0057205A">
        <w:rPr>
          <w:color w:val="000000" w:themeColor="text1"/>
        </w:rPr>
        <w:t>LTS</w:t>
      </w:r>
      <w:r w:rsidR="00ED5F28" w:rsidRPr="0057205A">
        <w:rPr>
          <w:color w:val="000000" w:themeColor="text1"/>
        </w:rPr>
        <w:t xml:space="preserve"> le ou les noms des </w:t>
      </w:r>
      <w:r w:rsidR="00555F03" w:rsidRPr="0057205A">
        <w:rPr>
          <w:color w:val="000000" w:themeColor="text1"/>
        </w:rPr>
        <w:t>centres de transf</w:t>
      </w:r>
      <w:r w:rsidR="004155A8" w:rsidRPr="0057205A">
        <w:rPr>
          <w:color w:val="000000" w:themeColor="text1"/>
        </w:rPr>
        <w:t>u</w:t>
      </w:r>
      <w:r w:rsidR="00555F03" w:rsidRPr="0057205A">
        <w:rPr>
          <w:color w:val="000000" w:themeColor="text1"/>
        </w:rPr>
        <w:t xml:space="preserve">sion </w:t>
      </w:r>
      <w:r w:rsidR="009A5A13" w:rsidRPr="0057205A">
        <w:rPr>
          <w:color w:val="000000" w:themeColor="text1"/>
        </w:rPr>
        <w:t>réfèrent au</w:t>
      </w:r>
      <w:r w:rsidRPr="0057205A">
        <w:rPr>
          <w:color w:val="000000" w:themeColor="text1"/>
        </w:rPr>
        <w:t xml:space="preserve"> (aux) </w:t>
      </w:r>
      <w:r w:rsidR="00ED5F28" w:rsidRPr="0057205A">
        <w:rPr>
          <w:color w:val="000000" w:themeColor="text1"/>
        </w:rPr>
        <w:t>près d</w:t>
      </w:r>
      <w:r w:rsidRPr="0057205A">
        <w:rPr>
          <w:color w:val="000000" w:themeColor="text1"/>
        </w:rPr>
        <w:t>u (d</w:t>
      </w:r>
      <w:r w:rsidR="00ED5F28" w:rsidRPr="0057205A">
        <w:rPr>
          <w:color w:val="000000" w:themeColor="text1"/>
        </w:rPr>
        <w:t>es</w:t>
      </w:r>
      <w:r w:rsidRPr="0057205A">
        <w:rPr>
          <w:color w:val="000000" w:themeColor="text1"/>
        </w:rPr>
        <w:t xml:space="preserve">) </w:t>
      </w:r>
      <w:r w:rsidR="00ED5F28" w:rsidRPr="0057205A">
        <w:rPr>
          <w:color w:val="000000" w:themeColor="text1"/>
        </w:rPr>
        <w:t>quel</w:t>
      </w:r>
      <w:r w:rsidRPr="0057205A">
        <w:rPr>
          <w:color w:val="000000" w:themeColor="text1"/>
        </w:rPr>
        <w:t xml:space="preserve"> (</w:t>
      </w:r>
      <w:r w:rsidR="00ED5F28" w:rsidRPr="0057205A">
        <w:rPr>
          <w:color w:val="000000" w:themeColor="text1"/>
        </w:rPr>
        <w:t>s</w:t>
      </w:r>
      <w:r w:rsidRPr="0057205A">
        <w:rPr>
          <w:color w:val="000000" w:themeColor="text1"/>
        </w:rPr>
        <w:t>)</w:t>
      </w:r>
      <w:r w:rsidR="00ED5F28" w:rsidRPr="0057205A">
        <w:rPr>
          <w:color w:val="000000" w:themeColor="text1"/>
        </w:rPr>
        <w:t xml:space="preserve"> il a choisi de s'approvisionner</w:t>
      </w:r>
      <w:r w:rsidR="00224998" w:rsidRPr="0057205A">
        <w:rPr>
          <w:color w:val="000000" w:themeColor="text1"/>
        </w:rPr>
        <w:t xml:space="preserve"> selon la convention de coopération établie entre les 2 institutions</w:t>
      </w:r>
    </w:p>
    <w:p w14:paraId="2BAB993F" w14:textId="28ED1196" w:rsidR="000430F1" w:rsidRPr="0057205A" w:rsidRDefault="00225217" w:rsidP="0057205A">
      <w:pPr>
        <w:pStyle w:val="Body"/>
        <w:spacing w:before="100" w:after="100"/>
        <w:ind w:left="709" w:hanging="425"/>
        <w:jc w:val="both"/>
        <w:rPr>
          <w:rFonts w:eastAsia="Times New Roman"/>
          <w:color w:val="000000" w:themeColor="text1"/>
        </w:rPr>
      </w:pPr>
      <w:r w:rsidRPr="0057205A">
        <w:rPr>
          <w:color w:val="000000" w:themeColor="text1"/>
        </w:rPr>
        <w:t xml:space="preserve"> </w:t>
      </w:r>
      <w:r w:rsidR="00ED5F28" w:rsidRPr="0057205A">
        <w:rPr>
          <w:color w:val="000000" w:themeColor="text1"/>
        </w:rPr>
        <w:t xml:space="preserve">- </w:t>
      </w:r>
      <w:r w:rsidRPr="0057205A">
        <w:rPr>
          <w:color w:val="000000" w:themeColor="text1"/>
        </w:rPr>
        <w:t xml:space="preserve">    </w:t>
      </w:r>
      <w:r w:rsidR="009A5A13" w:rsidRPr="0057205A">
        <w:rPr>
          <w:color w:val="000000" w:themeColor="text1"/>
        </w:rPr>
        <w:t>Le centre</w:t>
      </w:r>
      <w:r w:rsidR="00BC103B" w:rsidRPr="0057205A">
        <w:rPr>
          <w:color w:val="000000" w:themeColor="text1"/>
        </w:rPr>
        <w:t xml:space="preserve"> de transfusion sanguine </w:t>
      </w:r>
      <w:r w:rsidR="004155A8" w:rsidRPr="0057205A">
        <w:rPr>
          <w:color w:val="000000" w:themeColor="text1"/>
        </w:rPr>
        <w:t>réfèrent</w:t>
      </w:r>
      <w:r w:rsidR="00ED5F28" w:rsidRPr="0057205A">
        <w:rPr>
          <w:color w:val="000000" w:themeColor="text1"/>
        </w:rPr>
        <w:t xml:space="preserve"> est </w:t>
      </w:r>
      <w:r w:rsidR="0015674F" w:rsidRPr="0057205A">
        <w:rPr>
          <w:color w:val="000000" w:themeColor="text1"/>
        </w:rPr>
        <w:t>responsable de communiquer au C</w:t>
      </w:r>
      <w:r w:rsidR="004B601C" w:rsidRPr="0057205A">
        <w:rPr>
          <w:color w:val="000000" w:themeColor="text1"/>
        </w:rPr>
        <w:t>LTS</w:t>
      </w:r>
      <w:r w:rsidR="00ED5F28" w:rsidRPr="0057205A">
        <w:rPr>
          <w:color w:val="000000" w:themeColor="text1"/>
        </w:rPr>
        <w:t xml:space="preserve"> les ES qu'il approvisionn</w:t>
      </w:r>
      <w:r w:rsidR="00224998" w:rsidRPr="0057205A">
        <w:rPr>
          <w:color w:val="000000" w:themeColor="text1"/>
        </w:rPr>
        <w:t>e selon la convention de coopération établie entre les 2 institutions</w:t>
      </w:r>
    </w:p>
    <w:p w14:paraId="5E923AE9" w14:textId="7820CB5F" w:rsidR="004B601C" w:rsidRPr="0057205A" w:rsidRDefault="00ED5F28" w:rsidP="0057205A">
      <w:pPr>
        <w:pStyle w:val="Body"/>
        <w:spacing w:before="100" w:after="100"/>
        <w:jc w:val="both"/>
        <w:rPr>
          <w:color w:val="000000" w:themeColor="text1"/>
        </w:rPr>
      </w:pPr>
      <w:r w:rsidRPr="0057205A">
        <w:rPr>
          <w:color w:val="000000" w:themeColor="text1"/>
        </w:rPr>
        <w:t>Cette disposition, qui définit les circuits de distribution des produits sanguins, doit permettre de garantir la transparence de la distribution et donc le suivi</w:t>
      </w:r>
      <w:r w:rsidR="00066D18" w:rsidRPr="0057205A">
        <w:rPr>
          <w:color w:val="000000" w:themeColor="text1"/>
        </w:rPr>
        <w:t xml:space="preserve"> de chaque produit sanguin, du D</w:t>
      </w:r>
      <w:r w:rsidRPr="0057205A">
        <w:rPr>
          <w:color w:val="000000" w:themeColor="text1"/>
        </w:rPr>
        <w:t xml:space="preserve">onneur au patient transfusé. </w:t>
      </w:r>
    </w:p>
    <w:p w14:paraId="2AEADAAE" w14:textId="77777777" w:rsidR="004B601C" w:rsidRPr="0057205A" w:rsidRDefault="004B601C" w:rsidP="0057205A">
      <w:pPr>
        <w:pStyle w:val="Body"/>
        <w:spacing w:before="100" w:after="100"/>
        <w:jc w:val="both"/>
        <w:rPr>
          <w:rFonts w:eastAsia="Times New Roman"/>
          <w:color w:val="000000" w:themeColor="text1"/>
        </w:rPr>
      </w:pPr>
    </w:p>
    <w:p w14:paraId="7A7BAA1B" w14:textId="1D26F7AC" w:rsidR="0015674F" w:rsidRPr="0057205A" w:rsidRDefault="00ED5F28" w:rsidP="0057205A">
      <w:pPr>
        <w:pStyle w:val="NoSpacing"/>
        <w:spacing w:line="276" w:lineRule="auto"/>
        <w:rPr>
          <w:rFonts w:ascii="Calibri" w:hAnsi="Calibri" w:cs="Calibri"/>
          <w:i/>
          <w:iCs/>
          <w:sz w:val="22"/>
          <w:szCs w:val="22"/>
          <w:u w:val="single"/>
          <w:lang w:val="fr-FR"/>
        </w:rPr>
      </w:pPr>
      <w:r w:rsidRPr="0057205A">
        <w:rPr>
          <w:rFonts w:ascii="Calibri" w:hAnsi="Calibri" w:cs="Calibri"/>
          <w:i/>
          <w:iCs/>
          <w:sz w:val="22"/>
          <w:szCs w:val="22"/>
          <w:u w:val="single"/>
          <w:lang w:val="fr-FR"/>
        </w:rPr>
        <w:t>VI.</w:t>
      </w:r>
      <w:r w:rsidR="006E5E8C" w:rsidRPr="0057205A">
        <w:rPr>
          <w:rFonts w:ascii="Calibri" w:hAnsi="Calibri" w:cs="Calibri"/>
          <w:i/>
          <w:iCs/>
          <w:sz w:val="22"/>
          <w:szCs w:val="22"/>
          <w:u w:val="single"/>
          <w:lang w:val="fr-FR"/>
        </w:rPr>
        <w:t>3.6-</w:t>
      </w:r>
      <w:r w:rsidRPr="0057205A">
        <w:rPr>
          <w:rFonts w:ascii="Calibri" w:hAnsi="Calibri" w:cs="Calibri"/>
          <w:i/>
          <w:iCs/>
          <w:sz w:val="22"/>
          <w:szCs w:val="22"/>
          <w:u w:val="single"/>
          <w:lang w:val="fr-FR"/>
        </w:rPr>
        <w:t xml:space="preserve"> </w:t>
      </w:r>
      <w:r w:rsidR="00112AB7" w:rsidRPr="0057205A">
        <w:rPr>
          <w:rFonts w:ascii="Calibri" w:hAnsi="Calibri" w:cs="Calibri"/>
          <w:i/>
          <w:iCs/>
          <w:sz w:val="22"/>
          <w:szCs w:val="22"/>
          <w:u w:val="single"/>
          <w:lang w:val="fr-FR"/>
        </w:rPr>
        <w:t>M</w:t>
      </w:r>
      <w:r w:rsidR="0015674F" w:rsidRPr="0057205A">
        <w:rPr>
          <w:rFonts w:ascii="Calibri" w:hAnsi="Calibri" w:cs="Calibri"/>
          <w:i/>
          <w:iCs/>
          <w:sz w:val="22"/>
          <w:szCs w:val="22"/>
          <w:u w:val="single"/>
          <w:lang w:val="fr-FR"/>
        </w:rPr>
        <w:t>odalités des échanges</w:t>
      </w:r>
      <w:r w:rsidR="006E5E8C" w:rsidRPr="0057205A">
        <w:rPr>
          <w:rFonts w:ascii="Calibri" w:hAnsi="Calibri" w:cs="Calibri"/>
          <w:i/>
          <w:iCs/>
          <w:sz w:val="22"/>
          <w:szCs w:val="22"/>
          <w:u w:val="single"/>
          <w:lang w:val="fr-FR"/>
        </w:rPr>
        <w:t xml:space="preserve"> d’information </w:t>
      </w:r>
      <w:r w:rsidR="0015674F" w:rsidRPr="0057205A">
        <w:rPr>
          <w:rFonts w:ascii="Calibri" w:hAnsi="Calibri" w:cs="Calibri"/>
          <w:i/>
          <w:iCs/>
          <w:sz w:val="22"/>
          <w:szCs w:val="22"/>
          <w:u w:val="single"/>
          <w:lang w:val="fr-FR"/>
        </w:rPr>
        <w:t>:</w:t>
      </w:r>
    </w:p>
    <w:p w14:paraId="7539D760" w14:textId="77777777" w:rsidR="000430F1" w:rsidRPr="0057205A" w:rsidRDefault="00ED5F28" w:rsidP="0057205A">
      <w:pPr>
        <w:pStyle w:val="Body"/>
        <w:jc w:val="both"/>
        <w:rPr>
          <w:rFonts w:eastAsia="Times New Roman Bold"/>
          <w:color w:val="000000" w:themeColor="text1"/>
        </w:rPr>
      </w:pPr>
      <w:r w:rsidRPr="0057205A">
        <w:rPr>
          <w:color w:val="000000" w:themeColor="text1"/>
        </w:rPr>
        <w:t xml:space="preserve">Les </w:t>
      </w:r>
      <w:r w:rsidR="00D70256" w:rsidRPr="0057205A">
        <w:rPr>
          <w:color w:val="000000" w:themeColor="text1"/>
        </w:rPr>
        <w:t>centre</w:t>
      </w:r>
      <w:r w:rsidR="00605F1A" w:rsidRPr="0057205A">
        <w:rPr>
          <w:color w:val="000000" w:themeColor="text1"/>
        </w:rPr>
        <w:t>s</w:t>
      </w:r>
      <w:r w:rsidR="00D70256" w:rsidRPr="0057205A">
        <w:rPr>
          <w:color w:val="000000" w:themeColor="text1"/>
        </w:rPr>
        <w:t xml:space="preserve"> de transfusion sanguine référents</w:t>
      </w:r>
      <w:r w:rsidRPr="0057205A">
        <w:rPr>
          <w:color w:val="000000" w:themeColor="text1"/>
        </w:rPr>
        <w:t xml:space="preserve"> et les ES doivent mettre en œuvre des systèmes d'enregistrement, de recueil et d'échanges d'informations relatives aux </w:t>
      </w:r>
      <w:r w:rsidR="00112AB7" w:rsidRPr="0057205A">
        <w:rPr>
          <w:color w:val="000000" w:themeColor="text1"/>
        </w:rPr>
        <w:t>PSL</w:t>
      </w:r>
      <w:r w:rsidRPr="0057205A">
        <w:rPr>
          <w:color w:val="000000" w:themeColor="text1"/>
        </w:rPr>
        <w:t xml:space="preserve">. </w:t>
      </w:r>
    </w:p>
    <w:p w14:paraId="47086A99" w14:textId="77777777" w:rsidR="000430F1" w:rsidRPr="0057205A" w:rsidRDefault="00ED5F28" w:rsidP="0057205A">
      <w:pPr>
        <w:pStyle w:val="Body"/>
        <w:spacing w:before="100" w:after="100"/>
        <w:jc w:val="both"/>
        <w:rPr>
          <w:rFonts w:eastAsia="Times New Roman"/>
          <w:color w:val="000000" w:themeColor="text1"/>
        </w:rPr>
      </w:pPr>
      <w:r w:rsidRPr="0057205A">
        <w:rPr>
          <w:color w:val="000000" w:themeColor="text1"/>
        </w:rPr>
        <w:t xml:space="preserve">Les </w:t>
      </w:r>
      <w:r w:rsidR="00D70256" w:rsidRPr="0057205A">
        <w:rPr>
          <w:color w:val="000000" w:themeColor="text1"/>
        </w:rPr>
        <w:t>centres de transfusion sanguine référents</w:t>
      </w:r>
      <w:r w:rsidRPr="0057205A">
        <w:rPr>
          <w:color w:val="000000" w:themeColor="text1"/>
        </w:rPr>
        <w:t xml:space="preserve"> sont ainsi tenus de recueillir et de conserver des informati</w:t>
      </w:r>
      <w:r w:rsidR="00066D18" w:rsidRPr="0057205A">
        <w:rPr>
          <w:color w:val="000000" w:themeColor="text1"/>
        </w:rPr>
        <w:t>ons depuis l'identification du Donneur et l'acceptation du D</w:t>
      </w:r>
      <w:r w:rsidRPr="0057205A">
        <w:rPr>
          <w:color w:val="000000" w:themeColor="text1"/>
        </w:rPr>
        <w:t xml:space="preserve">on jusqu'à l'identification du prescripteur et </w:t>
      </w:r>
      <w:r w:rsidR="00D70256" w:rsidRPr="0057205A">
        <w:rPr>
          <w:color w:val="000000" w:themeColor="text1"/>
        </w:rPr>
        <w:t>du</w:t>
      </w:r>
      <w:r w:rsidRPr="0057205A">
        <w:rPr>
          <w:color w:val="000000" w:themeColor="text1"/>
        </w:rPr>
        <w:t xml:space="preserve"> patient auquel le produit a été administré</w:t>
      </w:r>
      <w:r w:rsidR="004B601C" w:rsidRPr="0057205A">
        <w:rPr>
          <w:color w:val="000000" w:themeColor="text1"/>
        </w:rPr>
        <w:t xml:space="preserve"> ou l’identification de l’ES o</w:t>
      </w:r>
      <w:r w:rsidR="00A30A63" w:rsidRPr="0057205A">
        <w:rPr>
          <w:color w:val="000000" w:themeColor="text1"/>
        </w:rPr>
        <w:t>ù</w:t>
      </w:r>
      <w:r w:rsidR="004B601C" w:rsidRPr="0057205A">
        <w:rPr>
          <w:color w:val="000000" w:themeColor="text1"/>
        </w:rPr>
        <w:t xml:space="preserve"> la transfusion a lieu.</w:t>
      </w:r>
    </w:p>
    <w:p w14:paraId="28EE38A4" w14:textId="77777777" w:rsidR="000430F1" w:rsidRPr="0057205A" w:rsidRDefault="00ED5F28" w:rsidP="0057205A">
      <w:pPr>
        <w:pStyle w:val="Body"/>
        <w:spacing w:before="100" w:after="100"/>
        <w:jc w:val="both"/>
        <w:rPr>
          <w:color w:val="000000" w:themeColor="text1"/>
        </w:rPr>
      </w:pPr>
      <w:r w:rsidRPr="0057205A">
        <w:rPr>
          <w:color w:val="000000" w:themeColor="text1"/>
        </w:rPr>
        <w:t>Les ES</w:t>
      </w:r>
      <w:r w:rsidR="008E5C80" w:rsidRPr="0057205A">
        <w:rPr>
          <w:color w:val="000000" w:themeColor="text1"/>
        </w:rPr>
        <w:t xml:space="preserve"> </w:t>
      </w:r>
      <w:r w:rsidRPr="0057205A">
        <w:rPr>
          <w:color w:val="000000" w:themeColor="text1"/>
        </w:rPr>
        <w:t xml:space="preserve">doivent recueillir et conserver notamment l'identification du produit du </w:t>
      </w:r>
      <w:r w:rsidR="00D70256" w:rsidRPr="0057205A">
        <w:rPr>
          <w:color w:val="000000" w:themeColor="text1"/>
        </w:rPr>
        <w:t>centre de transfusion sanguine référent</w:t>
      </w:r>
      <w:r w:rsidRPr="0057205A">
        <w:rPr>
          <w:color w:val="000000" w:themeColor="text1"/>
        </w:rPr>
        <w:t xml:space="preserve">, les circonstances de la conservation et du transport du produit, l'identification du patient et du prescripteur, ainsi que tout effet inattendu du produit en cause. </w:t>
      </w:r>
    </w:p>
    <w:p w14:paraId="55FFA2E0" w14:textId="77777777" w:rsidR="006E5E8C" w:rsidRPr="0057205A" w:rsidRDefault="006E5E8C" w:rsidP="0057205A">
      <w:pPr>
        <w:pStyle w:val="Body"/>
        <w:spacing w:before="100" w:after="100"/>
        <w:jc w:val="both"/>
        <w:rPr>
          <w:rFonts w:eastAsia="Times New Roman"/>
          <w:color w:val="000000" w:themeColor="text1"/>
        </w:rPr>
      </w:pPr>
    </w:p>
    <w:p w14:paraId="4B184729" w14:textId="77777777" w:rsidR="000430F1" w:rsidRPr="0057205A" w:rsidRDefault="00ED5F28" w:rsidP="0057205A">
      <w:pPr>
        <w:pStyle w:val="Body"/>
        <w:spacing w:before="100" w:after="100"/>
        <w:jc w:val="both"/>
        <w:rPr>
          <w:color w:val="000000" w:themeColor="text1"/>
        </w:rPr>
      </w:pPr>
      <w:r w:rsidRPr="0057205A">
        <w:rPr>
          <w:color w:val="000000" w:themeColor="text1"/>
        </w:rPr>
        <w:t xml:space="preserve">Dans le cas où un produit aura été prescrit pour un patient mais administré à un autre, il est de la plus grande importance que cette opération de validation conduise à rectifier l'identité du patient transfusé. </w:t>
      </w:r>
    </w:p>
    <w:p w14:paraId="7D6EDD49" w14:textId="77777777" w:rsidR="006B6C49" w:rsidRPr="0057205A" w:rsidRDefault="006B6C49" w:rsidP="0057205A">
      <w:pPr>
        <w:pStyle w:val="Body"/>
        <w:spacing w:before="100" w:after="100"/>
        <w:jc w:val="both"/>
        <w:rPr>
          <w:color w:val="000000" w:themeColor="text1"/>
        </w:rPr>
      </w:pPr>
    </w:p>
    <w:p w14:paraId="212C4138" w14:textId="7AF83435" w:rsidR="000430F1" w:rsidRPr="0057205A" w:rsidRDefault="00A30A63" w:rsidP="0057205A">
      <w:pPr>
        <w:pStyle w:val="Body"/>
        <w:spacing w:before="100" w:after="100"/>
        <w:jc w:val="both"/>
        <w:rPr>
          <w:color w:val="000000" w:themeColor="text1"/>
        </w:rPr>
      </w:pPr>
      <w:r w:rsidRPr="0057205A">
        <w:rPr>
          <w:color w:val="000000" w:themeColor="text1"/>
        </w:rPr>
        <w:lastRenderedPageBreak/>
        <w:t>L</w:t>
      </w:r>
      <w:r w:rsidR="004B601C" w:rsidRPr="0057205A">
        <w:rPr>
          <w:color w:val="000000" w:themeColor="text1"/>
        </w:rPr>
        <w:t xml:space="preserve">es </w:t>
      </w:r>
      <w:r w:rsidR="00D43140" w:rsidRPr="0057205A">
        <w:rPr>
          <w:color w:val="000000" w:themeColor="text1"/>
        </w:rPr>
        <w:t>conventions de coopération</w:t>
      </w:r>
      <w:r w:rsidR="004B601C" w:rsidRPr="0057205A">
        <w:rPr>
          <w:color w:val="000000" w:themeColor="text1"/>
        </w:rPr>
        <w:t xml:space="preserve"> type </w:t>
      </w:r>
      <w:r w:rsidR="009546C9" w:rsidRPr="0057205A">
        <w:rPr>
          <w:color w:val="000000" w:themeColor="text1"/>
        </w:rPr>
        <w:t>rédigés</w:t>
      </w:r>
      <w:r w:rsidR="004B601C" w:rsidRPr="0057205A">
        <w:rPr>
          <w:color w:val="000000" w:themeColor="text1"/>
        </w:rPr>
        <w:t xml:space="preserve"> par le </w:t>
      </w:r>
      <w:r w:rsidR="009546C9" w:rsidRPr="0057205A">
        <w:rPr>
          <w:color w:val="000000" w:themeColor="text1"/>
        </w:rPr>
        <w:t xml:space="preserve">CLTS </w:t>
      </w:r>
      <w:r w:rsidR="00ED5F28" w:rsidRPr="0057205A">
        <w:rPr>
          <w:color w:val="000000" w:themeColor="text1"/>
        </w:rPr>
        <w:t xml:space="preserve">préciseront le contenu ainsi que les modalités de recueil et de transmission des informations </w:t>
      </w:r>
      <w:r w:rsidR="009546C9" w:rsidRPr="0057205A">
        <w:rPr>
          <w:color w:val="000000" w:themeColor="text1"/>
        </w:rPr>
        <w:t xml:space="preserve">entre </w:t>
      </w:r>
      <w:r w:rsidR="00ED5F28" w:rsidRPr="0057205A">
        <w:rPr>
          <w:color w:val="000000" w:themeColor="text1"/>
        </w:rPr>
        <w:t xml:space="preserve">les </w:t>
      </w:r>
      <w:r w:rsidR="00D43140" w:rsidRPr="0057205A">
        <w:rPr>
          <w:color w:val="000000" w:themeColor="text1"/>
        </w:rPr>
        <w:t>centres de transfusion sanguine référents</w:t>
      </w:r>
      <w:r w:rsidR="00ED5F28" w:rsidRPr="0057205A">
        <w:rPr>
          <w:color w:val="000000" w:themeColor="text1"/>
        </w:rPr>
        <w:t xml:space="preserve"> et les ES</w:t>
      </w:r>
      <w:r w:rsidR="009546C9" w:rsidRPr="0057205A">
        <w:rPr>
          <w:color w:val="000000" w:themeColor="text1"/>
        </w:rPr>
        <w:t xml:space="preserve"> en temps normal et en</w:t>
      </w:r>
      <w:r w:rsidRPr="0057205A">
        <w:rPr>
          <w:color w:val="000000" w:themeColor="text1"/>
        </w:rPr>
        <w:t xml:space="preserve"> </w:t>
      </w:r>
      <w:r w:rsidR="009546C9" w:rsidRPr="0057205A">
        <w:rPr>
          <w:color w:val="000000" w:themeColor="text1"/>
        </w:rPr>
        <w:t>cas d’incident</w:t>
      </w:r>
      <w:r w:rsidRPr="0057205A">
        <w:rPr>
          <w:color w:val="000000" w:themeColor="text1"/>
        </w:rPr>
        <w:t xml:space="preserve"> transfusionnel</w:t>
      </w:r>
      <w:r w:rsidR="00ED5F28" w:rsidRPr="0057205A">
        <w:rPr>
          <w:color w:val="000000" w:themeColor="text1"/>
        </w:rPr>
        <w:t xml:space="preserve">. Il faut veiller particulièrement à la qualité des échanges d'informations entre les </w:t>
      </w:r>
      <w:r w:rsidR="00E50589" w:rsidRPr="0057205A">
        <w:rPr>
          <w:color w:val="000000" w:themeColor="text1"/>
        </w:rPr>
        <w:t>centre</w:t>
      </w:r>
      <w:r w:rsidR="009A5A13" w:rsidRPr="0057205A">
        <w:rPr>
          <w:color w:val="000000" w:themeColor="text1"/>
        </w:rPr>
        <w:t>s</w:t>
      </w:r>
      <w:r w:rsidR="00E50589" w:rsidRPr="0057205A">
        <w:rPr>
          <w:color w:val="000000" w:themeColor="text1"/>
        </w:rPr>
        <w:t xml:space="preserve"> de transfusion sanguine référents</w:t>
      </w:r>
      <w:r w:rsidR="00ED5F28" w:rsidRPr="0057205A">
        <w:rPr>
          <w:color w:val="000000" w:themeColor="text1"/>
        </w:rPr>
        <w:t xml:space="preserve"> et les ES transfuseurs.</w:t>
      </w:r>
    </w:p>
    <w:p w14:paraId="1EF7D456" w14:textId="77777777" w:rsidR="0057205A" w:rsidRPr="0057205A" w:rsidRDefault="0057205A" w:rsidP="0057205A">
      <w:pPr>
        <w:pStyle w:val="Body"/>
        <w:spacing w:before="100" w:after="100"/>
        <w:jc w:val="both"/>
        <w:rPr>
          <w:rFonts w:eastAsia="Times New Roman"/>
          <w:color w:val="000000" w:themeColor="text1"/>
        </w:rPr>
      </w:pPr>
    </w:p>
    <w:p w14:paraId="39CEB306" w14:textId="77777777" w:rsidR="000430F1" w:rsidRPr="0057205A" w:rsidRDefault="006E5E8C" w:rsidP="0057205A">
      <w:pPr>
        <w:pStyle w:val="NoSpacing"/>
        <w:spacing w:line="276" w:lineRule="auto"/>
        <w:rPr>
          <w:rFonts w:ascii="Calibri" w:eastAsia="Times New Roman" w:hAnsi="Calibri" w:cs="Calibri"/>
          <w:i/>
          <w:iCs/>
          <w:sz w:val="22"/>
          <w:szCs w:val="22"/>
          <w:u w:val="single"/>
        </w:rPr>
      </w:pPr>
      <w:bookmarkStart w:id="15" w:name="_Toc7"/>
      <w:r w:rsidRPr="0057205A">
        <w:rPr>
          <w:rFonts w:ascii="Calibri" w:hAnsi="Calibri" w:cs="Calibri"/>
          <w:i/>
          <w:iCs/>
          <w:sz w:val="22"/>
          <w:szCs w:val="22"/>
          <w:u w:val="single"/>
        </w:rPr>
        <w:t>VI.4</w:t>
      </w:r>
      <w:r w:rsidR="009A4783" w:rsidRPr="0057205A">
        <w:rPr>
          <w:rFonts w:ascii="Calibri" w:hAnsi="Calibri" w:cs="Calibri"/>
          <w:i/>
          <w:iCs/>
          <w:sz w:val="22"/>
          <w:szCs w:val="22"/>
          <w:u w:val="single"/>
        </w:rPr>
        <w:t>-</w:t>
      </w:r>
      <w:r w:rsidR="00ED5F28" w:rsidRPr="0057205A">
        <w:rPr>
          <w:rFonts w:ascii="Calibri" w:hAnsi="Calibri" w:cs="Calibri"/>
          <w:i/>
          <w:iCs/>
          <w:sz w:val="22"/>
          <w:szCs w:val="22"/>
          <w:u w:val="single"/>
        </w:rPr>
        <w:t xml:space="preserve"> </w:t>
      </w:r>
      <w:r w:rsidR="00112AB7" w:rsidRPr="0057205A">
        <w:rPr>
          <w:rFonts w:ascii="Calibri" w:hAnsi="Calibri" w:cs="Calibri"/>
          <w:i/>
          <w:iCs/>
          <w:sz w:val="22"/>
          <w:szCs w:val="22"/>
          <w:u w:val="single"/>
        </w:rPr>
        <w:t>E</w:t>
      </w:r>
      <w:r w:rsidR="00ED5F28" w:rsidRPr="0057205A">
        <w:rPr>
          <w:rFonts w:ascii="Calibri" w:hAnsi="Calibri" w:cs="Calibri"/>
          <w:i/>
          <w:iCs/>
          <w:sz w:val="22"/>
          <w:szCs w:val="22"/>
          <w:u w:val="single"/>
        </w:rPr>
        <w:t xml:space="preserve">nquêtes épidémiologiques et études </w:t>
      </w:r>
      <w:bookmarkEnd w:id="15"/>
    </w:p>
    <w:p w14:paraId="49490C2F" w14:textId="4DF926E5" w:rsidR="00B34AAE" w:rsidRDefault="00ED5F28" w:rsidP="0057205A">
      <w:pPr>
        <w:pStyle w:val="Body"/>
        <w:spacing w:before="100" w:after="100"/>
        <w:jc w:val="both"/>
        <w:rPr>
          <w:color w:val="auto"/>
        </w:rPr>
      </w:pPr>
      <w:r w:rsidRPr="0057205A">
        <w:rPr>
          <w:color w:val="auto"/>
        </w:rPr>
        <w:t>Le C</w:t>
      </w:r>
      <w:r w:rsidR="009546C9" w:rsidRPr="0057205A">
        <w:rPr>
          <w:color w:val="auto"/>
        </w:rPr>
        <w:t>LTS</w:t>
      </w:r>
      <w:r w:rsidR="00BC3A46" w:rsidRPr="0057205A">
        <w:rPr>
          <w:color w:val="auto"/>
        </w:rPr>
        <w:t xml:space="preserve"> propose au </w:t>
      </w:r>
      <w:r w:rsidR="00112AB7" w:rsidRPr="0057205A">
        <w:rPr>
          <w:color w:val="auto"/>
        </w:rPr>
        <w:t xml:space="preserve">Directeur </w:t>
      </w:r>
      <w:r w:rsidR="00341BC1" w:rsidRPr="0057205A">
        <w:rPr>
          <w:color w:val="auto"/>
        </w:rPr>
        <w:t>Général</w:t>
      </w:r>
      <w:r w:rsidR="00112AB7" w:rsidRPr="0057205A">
        <w:rPr>
          <w:color w:val="auto"/>
        </w:rPr>
        <w:t xml:space="preserve"> de la Santé (</w:t>
      </w:r>
      <w:r w:rsidR="00BC3A46" w:rsidRPr="0057205A">
        <w:rPr>
          <w:color w:val="auto"/>
        </w:rPr>
        <w:t>DGS</w:t>
      </w:r>
      <w:r w:rsidR="00112AB7" w:rsidRPr="0057205A">
        <w:rPr>
          <w:color w:val="auto"/>
        </w:rPr>
        <w:t>)</w:t>
      </w:r>
      <w:r w:rsidR="00BC3A46" w:rsidRPr="0057205A">
        <w:rPr>
          <w:color w:val="auto"/>
        </w:rPr>
        <w:t xml:space="preserve"> d’initier </w:t>
      </w:r>
      <w:r w:rsidRPr="0057205A">
        <w:rPr>
          <w:color w:val="auto"/>
        </w:rPr>
        <w:t xml:space="preserve">des enquêtes épidémiologiques et des études relatives aux conditions d'emploi des produits sanguins labiles. Les résultats </w:t>
      </w:r>
      <w:r w:rsidR="00066D18" w:rsidRPr="0057205A">
        <w:rPr>
          <w:color w:val="auto"/>
        </w:rPr>
        <w:t>de ces enquêtes seront diffusés</w:t>
      </w:r>
      <w:r w:rsidRPr="0057205A">
        <w:rPr>
          <w:color w:val="auto"/>
        </w:rPr>
        <w:t xml:space="preserve"> </w:t>
      </w:r>
      <w:r w:rsidR="00BC3A46" w:rsidRPr="0057205A">
        <w:rPr>
          <w:color w:val="auto"/>
        </w:rPr>
        <w:t xml:space="preserve">aux </w:t>
      </w:r>
      <w:r w:rsidRPr="0057205A">
        <w:rPr>
          <w:color w:val="auto"/>
        </w:rPr>
        <w:t xml:space="preserve">acteurs de l'HV. </w:t>
      </w:r>
      <w:r w:rsidR="00112AB7" w:rsidRPr="0057205A">
        <w:rPr>
          <w:color w:val="auto"/>
        </w:rPr>
        <w:t xml:space="preserve"> </w:t>
      </w:r>
    </w:p>
    <w:p w14:paraId="6A55EE17" w14:textId="547B9B3A" w:rsidR="0057205A" w:rsidRDefault="0057205A" w:rsidP="0057205A">
      <w:pPr>
        <w:pStyle w:val="Body"/>
        <w:spacing w:before="100" w:after="100"/>
        <w:jc w:val="both"/>
        <w:rPr>
          <w:color w:val="auto"/>
        </w:rPr>
      </w:pPr>
    </w:p>
    <w:p w14:paraId="24FEE23A" w14:textId="77777777" w:rsidR="0057205A" w:rsidRPr="0057205A" w:rsidRDefault="0057205A" w:rsidP="0057205A">
      <w:pPr>
        <w:pStyle w:val="Body"/>
        <w:spacing w:before="100" w:after="100"/>
        <w:jc w:val="both"/>
        <w:rPr>
          <w:color w:val="auto"/>
        </w:rPr>
      </w:pPr>
    </w:p>
    <w:p w14:paraId="11023B4B" w14:textId="0A18E898" w:rsidR="0064102B" w:rsidRDefault="00112AB7" w:rsidP="0057205A">
      <w:pPr>
        <w:pStyle w:val="Heading1"/>
        <w:numPr>
          <w:ilvl w:val="0"/>
          <w:numId w:val="31"/>
        </w:numPr>
        <w:spacing w:line="276" w:lineRule="auto"/>
        <w:rPr>
          <w:rFonts w:ascii="Calibri" w:hAnsi="Calibri" w:cs="Calibri"/>
          <w:b/>
          <w:bCs/>
          <w:color w:val="C00000"/>
          <w:sz w:val="22"/>
          <w:szCs w:val="22"/>
          <w:u w:val="single"/>
        </w:rPr>
      </w:pPr>
      <w:bookmarkStart w:id="16" w:name="_Toc122019056"/>
      <w:r w:rsidRPr="0057205A">
        <w:rPr>
          <w:rFonts w:ascii="Calibri" w:hAnsi="Calibri" w:cs="Calibri"/>
          <w:b/>
          <w:bCs/>
          <w:color w:val="C00000"/>
          <w:sz w:val="22"/>
          <w:szCs w:val="22"/>
          <w:u w:val="single"/>
        </w:rPr>
        <w:t>D</w:t>
      </w:r>
      <w:r w:rsidR="0064102B" w:rsidRPr="0057205A">
        <w:rPr>
          <w:rFonts w:ascii="Calibri" w:hAnsi="Calibri" w:cs="Calibri"/>
          <w:b/>
          <w:bCs/>
          <w:color w:val="C00000"/>
          <w:sz w:val="22"/>
          <w:szCs w:val="22"/>
          <w:u w:val="single"/>
        </w:rPr>
        <w:t xml:space="preserve">roits du </w:t>
      </w:r>
      <w:r w:rsidR="009A5A13" w:rsidRPr="0057205A">
        <w:rPr>
          <w:rFonts w:ascii="Calibri" w:hAnsi="Calibri" w:cs="Calibri"/>
          <w:b/>
          <w:bCs/>
          <w:color w:val="C00000"/>
          <w:sz w:val="22"/>
          <w:szCs w:val="22"/>
          <w:u w:val="single"/>
        </w:rPr>
        <w:t>patient:</w:t>
      </w:r>
      <w:bookmarkEnd w:id="16"/>
    </w:p>
    <w:p w14:paraId="789FD799" w14:textId="77777777" w:rsidR="0057205A" w:rsidRPr="0057205A" w:rsidRDefault="0057205A" w:rsidP="0057205A">
      <w:pPr>
        <w:rPr>
          <w:lang w:val="fr-FR"/>
        </w:rPr>
      </w:pPr>
    </w:p>
    <w:p w14:paraId="1DA9592A" w14:textId="48BF3BFE" w:rsidR="00A611DC" w:rsidRPr="0057205A" w:rsidRDefault="00ED5F28" w:rsidP="0057205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w:hAnsi="Calibri" w:cs="Calibri"/>
          <w:sz w:val="22"/>
          <w:szCs w:val="22"/>
          <w:lang w:val="fr-FR"/>
        </w:rPr>
      </w:pPr>
      <w:r w:rsidRPr="0057205A">
        <w:rPr>
          <w:rFonts w:ascii="Calibri" w:hAnsi="Calibri" w:cs="Calibri"/>
          <w:sz w:val="22"/>
          <w:szCs w:val="22"/>
          <w:lang w:val="fr-FR"/>
        </w:rPr>
        <w:t>Chaque Receveu</w:t>
      </w:r>
      <w:r w:rsidR="004F2177" w:rsidRPr="0057205A">
        <w:rPr>
          <w:rFonts w:ascii="Calibri" w:hAnsi="Calibri" w:cs="Calibri"/>
          <w:sz w:val="22"/>
          <w:szCs w:val="22"/>
          <w:lang w:val="fr-FR"/>
        </w:rPr>
        <w:t xml:space="preserve">r </w:t>
      </w:r>
      <w:r w:rsidR="00BE3C83" w:rsidRPr="0057205A">
        <w:rPr>
          <w:rFonts w:ascii="Calibri" w:hAnsi="Calibri" w:cs="Calibri"/>
          <w:sz w:val="22"/>
          <w:szCs w:val="22"/>
          <w:lang w:val="fr-FR"/>
        </w:rPr>
        <w:t xml:space="preserve">a le droit </w:t>
      </w:r>
      <w:r w:rsidR="009A5A13" w:rsidRPr="0057205A">
        <w:rPr>
          <w:rFonts w:ascii="Calibri" w:hAnsi="Calibri" w:cs="Calibri"/>
          <w:sz w:val="22"/>
          <w:szCs w:val="22"/>
          <w:lang w:val="fr-FR"/>
        </w:rPr>
        <w:t>d’être</w:t>
      </w:r>
      <w:r w:rsidRPr="0057205A">
        <w:rPr>
          <w:rFonts w:ascii="Calibri" w:hAnsi="Calibri" w:cs="Calibri"/>
          <w:sz w:val="22"/>
          <w:szCs w:val="22"/>
          <w:lang w:val="fr-FR"/>
        </w:rPr>
        <w:t xml:space="preserve"> informé </w:t>
      </w:r>
      <w:r w:rsidR="007A73A8" w:rsidRPr="0057205A">
        <w:rPr>
          <w:rFonts w:ascii="Calibri" w:hAnsi="Calibri" w:cs="Calibri"/>
          <w:sz w:val="22"/>
          <w:szCs w:val="22"/>
          <w:lang w:val="fr-FR"/>
        </w:rPr>
        <w:t>du</w:t>
      </w:r>
      <w:r w:rsidR="00095C15" w:rsidRPr="0057205A">
        <w:rPr>
          <w:rFonts w:ascii="Calibri" w:hAnsi="Calibri" w:cs="Calibri"/>
          <w:sz w:val="22"/>
          <w:szCs w:val="22"/>
          <w:lang w:val="fr-FR"/>
        </w:rPr>
        <w:t xml:space="preserve"> (des)</w:t>
      </w:r>
      <w:r w:rsidR="007A73A8" w:rsidRPr="0057205A">
        <w:rPr>
          <w:rFonts w:ascii="Calibri" w:hAnsi="Calibri" w:cs="Calibri"/>
          <w:sz w:val="22"/>
          <w:szCs w:val="22"/>
          <w:lang w:val="fr-FR"/>
        </w:rPr>
        <w:t xml:space="preserve"> produit</w:t>
      </w:r>
      <w:r w:rsidR="00095C15" w:rsidRPr="0057205A">
        <w:rPr>
          <w:rFonts w:ascii="Calibri" w:hAnsi="Calibri" w:cs="Calibri"/>
          <w:sz w:val="22"/>
          <w:szCs w:val="22"/>
          <w:lang w:val="fr-FR"/>
        </w:rPr>
        <w:t xml:space="preserve"> (s)</w:t>
      </w:r>
      <w:r w:rsidR="007A73A8" w:rsidRPr="0057205A">
        <w:rPr>
          <w:rFonts w:ascii="Calibri" w:hAnsi="Calibri" w:cs="Calibri"/>
          <w:sz w:val="22"/>
          <w:szCs w:val="22"/>
          <w:lang w:val="fr-FR"/>
        </w:rPr>
        <w:t xml:space="preserve"> sanguin</w:t>
      </w:r>
      <w:r w:rsidRPr="0057205A">
        <w:rPr>
          <w:rFonts w:ascii="Calibri" w:hAnsi="Calibri" w:cs="Calibri"/>
          <w:sz w:val="22"/>
          <w:szCs w:val="22"/>
          <w:lang w:val="fr-FR"/>
        </w:rPr>
        <w:t xml:space="preserve"> </w:t>
      </w:r>
      <w:r w:rsidR="00095C15" w:rsidRPr="0057205A">
        <w:rPr>
          <w:rFonts w:ascii="Calibri" w:hAnsi="Calibri" w:cs="Calibri"/>
          <w:sz w:val="22"/>
          <w:szCs w:val="22"/>
          <w:lang w:val="fr-FR"/>
        </w:rPr>
        <w:t xml:space="preserve">(s) </w:t>
      </w:r>
      <w:r w:rsidRPr="0057205A">
        <w:rPr>
          <w:rFonts w:ascii="Calibri" w:hAnsi="Calibri" w:cs="Calibri"/>
          <w:sz w:val="22"/>
          <w:szCs w:val="22"/>
          <w:lang w:val="fr-FR"/>
        </w:rPr>
        <w:t xml:space="preserve">qui lui a </w:t>
      </w:r>
      <w:r w:rsidR="00095C15" w:rsidRPr="0057205A">
        <w:rPr>
          <w:rFonts w:ascii="Calibri" w:hAnsi="Calibri" w:cs="Calibri"/>
          <w:sz w:val="22"/>
          <w:szCs w:val="22"/>
          <w:lang w:val="fr-FR"/>
        </w:rPr>
        <w:t xml:space="preserve">(ont) </w:t>
      </w:r>
      <w:r w:rsidRPr="0057205A">
        <w:rPr>
          <w:rFonts w:ascii="Calibri" w:hAnsi="Calibri" w:cs="Calibri"/>
          <w:sz w:val="22"/>
          <w:szCs w:val="22"/>
          <w:lang w:val="fr-FR"/>
        </w:rPr>
        <w:t>été administré</w:t>
      </w:r>
      <w:r w:rsidR="00095C15" w:rsidRPr="0057205A">
        <w:rPr>
          <w:rFonts w:ascii="Calibri" w:hAnsi="Calibri" w:cs="Calibri"/>
          <w:sz w:val="22"/>
          <w:szCs w:val="22"/>
          <w:lang w:val="fr-FR"/>
        </w:rPr>
        <w:t xml:space="preserve"> (s)</w:t>
      </w:r>
      <w:r w:rsidR="00F75374" w:rsidRPr="0057205A">
        <w:rPr>
          <w:rFonts w:ascii="Calibri" w:hAnsi="Calibri" w:cs="Calibri"/>
          <w:sz w:val="22"/>
          <w:szCs w:val="22"/>
          <w:lang w:val="fr-FR"/>
        </w:rPr>
        <w:t xml:space="preserve"> et</w:t>
      </w:r>
      <w:r w:rsidR="00341BC1" w:rsidRPr="0057205A">
        <w:rPr>
          <w:rFonts w:ascii="Calibri" w:hAnsi="Calibri" w:cs="Calibri"/>
          <w:sz w:val="22"/>
          <w:szCs w:val="22"/>
          <w:lang w:val="fr-FR"/>
        </w:rPr>
        <w:t xml:space="preserve"> d</w:t>
      </w:r>
      <w:r w:rsidR="00F75374" w:rsidRPr="0057205A">
        <w:rPr>
          <w:rFonts w:ascii="Calibri" w:hAnsi="Calibri" w:cs="Calibri"/>
          <w:sz w:val="22"/>
          <w:szCs w:val="22"/>
          <w:lang w:val="fr-FR"/>
        </w:rPr>
        <w:t>es effets secondaires possibles</w:t>
      </w:r>
      <w:r w:rsidR="00034AC3" w:rsidRPr="0057205A">
        <w:rPr>
          <w:rFonts w:ascii="Calibri" w:eastAsia="Times New Roman" w:hAnsi="Calibri" w:cs="Calibri"/>
          <w:sz w:val="22"/>
          <w:szCs w:val="22"/>
          <w:lang w:val="fr-CA" w:eastAsia="fr-CA"/>
        </w:rPr>
        <w:t xml:space="preserve">. </w:t>
      </w:r>
      <w:r w:rsidR="00095C15" w:rsidRPr="0057205A">
        <w:rPr>
          <w:rFonts w:ascii="Calibri" w:hAnsi="Calibri" w:cs="Calibri"/>
          <w:sz w:val="22"/>
          <w:szCs w:val="22"/>
          <w:lang w:val="fr-FR"/>
        </w:rPr>
        <w:t xml:space="preserve">Un consentement éclairé signé par ce dernier doit précéder l’acte transfusionnel. </w:t>
      </w:r>
    </w:p>
    <w:p w14:paraId="04CE5B36" w14:textId="77777777" w:rsidR="000430F1" w:rsidRPr="0057205A" w:rsidRDefault="000430F1" w:rsidP="0057205A">
      <w:pPr>
        <w:pStyle w:val="Body"/>
        <w:spacing w:before="100" w:after="100"/>
        <w:jc w:val="both"/>
        <w:rPr>
          <w:rFonts w:eastAsia="Times New Roman"/>
          <w:sz w:val="24"/>
          <w:szCs w:val="24"/>
        </w:rPr>
      </w:pPr>
    </w:p>
    <w:p w14:paraId="0CDA920C" w14:textId="264E7F8B" w:rsidR="000430F1" w:rsidRPr="0057205A" w:rsidRDefault="00ED5F28" w:rsidP="0057205A">
      <w:pPr>
        <w:pStyle w:val="Body"/>
        <w:jc w:val="both"/>
      </w:pPr>
      <w:r w:rsidRPr="0057205A">
        <w:rPr>
          <w:rFonts w:eastAsia="Times New Roman Bold"/>
          <w:sz w:val="24"/>
          <w:szCs w:val="24"/>
        </w:rPr>
        <w:br w:type="page"/>
      </w:r>
    </w:p>
    <w:p w14:paraId="3821991F" w14:textId="10DA6B2E" w:rsidR="000430F1" w:rsidRPr="0057205A" w:rsidRDefault="00ED5F28" w:rsidP="0057205A">
      <w:pPr>
        <w:pStyle w:val="Heading1"/>
        <w:spacing w:line="276" w:lineRule="auto"/>
        <w:rPr>
          <w:rFonts w:ascii="Calibri" w:hAnsi="Calibri" w:cs="Calibri"/>
          <w:b/>
          <w:bCs/>
          <w:color w:val="C00000"/>
          <w:sz w:val="28"/>
          <w:szCs w:val="28"/>
          <w:shd w:val="clear" w:color="auto" w:fill="D9D9D9"/>
        </w:rPr>
      </w:pPr>
      <w:bookmarkStart w:id="17" w:name="_Toc122019057"/>
      <w:r w:rsidRPr="0057205A">
        <w:rPr>
          <w:rFonts w:ascii="Calibri" w:hAnsi="Calibri" w:cs="Calibri"/>
          <w:b/>
          <w:bCs/>
          <w:color w:val="C00000"/>
          <w:sz w:val="28"/>
          <w:szCs w:val="28"/>
          <w:shd w:val="clear" w:color="auto" w:fill="C0C0C0"/>
        </w:rPr>
        <w:lastRenderedPageBreak/>
        <w:t xml:space="preserve">Annexe </w:t>
      </w:r>
      <w:proofErr w:type="gramStart"/>
      <w:r w:rsidR="009A5A13" w:rsidRPr="0057205A">
        <w:rPr>
          <w:rFonts w:ascii="Calibri" w:hAnsi="Calibri" w:cs="Calibri"/>
          <w:b/>
          <w:bCs/>
          <w:color w:val="C00000"/>
          <w:sz w:val="28"/>
          <w:szCs w:val="28"/>
          <w:shd w:val="clear" w:color="auto" w:fill="C0C0C0"/>
        </w:rPr>
        <w:t>I :</w:t>
      </w:r>
      <w:proofErr w:type="gramEnd"/>
      <w:r w:rsidRPr="0057205A">
        <w:rPr>
          <w:rFonts w:ascii="Calibri" w:hAnsi="Calibri" w:cs="Calibri"/>
          <w:b/>
          <w:bCs/>
          <w:color w:val="C00000"/>
          <w:sz w:val="28"/>
          <w:szCs w:val="28"/>
          <w:shd w:val="clear" w:color="auto" w:fill="C0C0C0"/>
        </w:rPr>
        <w:t xml:space="preserve"> COMITE </w:t>
      </w:r>
      <w:r w:rsidR="002839F5" w:rsidRPr="0057205A">
        <w:rPr>
          <w:rFonts w:ascii="Calibri" w:hAnsi="Calibri" w:cs="Calibri"/>
          <w:b/>
          <w:bCs/>
          <w:color w:val="C00000"/>
          <w:sz w:val="28"/>
          <w:szCs w:val="28"/>
          <w:shd w:val="clear" w:color="auto" w:fill="C0C0C0"/>
        </w:rPr>
        <w:t>LIBANAIS DE TRANSFUSION SANGUINE</w:t>
      </w:r>
      <w:r w:rsidRPr="0057205A">
        <w:rPr>
          <w:rFonts w:ascii="Calibri" w:hAnsi="Calibri" w:cs="Calibri"/>
          <w:b/>
          <w:bCs/>
          <w:color w:val="C00000"/>
          <w:sz w:val="28"/>
          <w:szCs w:val="28"/>
          <w:shd w:val="clear" w:color="auto" w:fill="D9D9D9"/>
        </w:rPr>
        <w:t xml:space="preserve"> (C</w:t>
      </w:r>
      <w:r w:rsidR="002839F5" w:rsidRPr="0057205A">
        <w:rPr>
          <w:rFonts w:ascii="Calibri" w:hAnsi="Calibri" w:cs="Calibri"/>
          <w:b/>
          <w:bCs/>
          <w:color w:val="C00000"/>
          <w:sz w:val="28"/>
          <w:szCs w:val="28"/>
          <w:shd w:val="clear" w:color="auto" w:fill="D9D9D9"/>
        </w:rPr>
        <w:t>LTS</w:t>
      </w:r>
      <w:r w:rsidRPr="0057205A">
        <w:rPr>
          <w:rFonts w:ascii="Calibri" w:hAnsi="Calibri" w:cs="Calibri"/>
          <w:b/>
          <w:bCs/>
          <w:color w:val="C00000"/>
          <w:sz w:val="28"/>
          <w:szCs w:val="28"/>
          <w:shd w:val="clear" w:color="auto" w:fill="D9D9D9"/>
        </w:rPr>
        <w:t>)</w:t>
      </w:r>
      <w:bookmarkEnd w:id="17"/>
    </w:p>
    <w:p w14:paraId="7BFC0E07" w14:textId="77777777" w:rsidR="009A4783" w:rsidRPr="0057205A" w:rsidRDefault="009A4783" w:rsidP="0057205A">
      <w:pPr>
        <w:pStyle w:val="Body"/>
      </w:pPr>
    </w:p>
    <w:p w14:paraId="0FB32599" w14:textId="2EB04094" w:rsidR="002839F5" w:rsidRPr="0057205A" w:rsidRDefault="002839F5" w:rsidP="0057205A">
      <w:pPr>
        <w:pStyle w:val="Body"/>
        <w:rPr>
          <w:color w:val="000000" w:themeColor="text1"/>
        </w:rPr>
      </w:pPr>
      <w:r w:rsidRPr="0057205A">
        <w:rPr>
          <w:color w:val="000000" w:themeColor="text1"/>
        </w:rPr>
        <w:t>Ce comité est nommé en 2011 par le MSP pour accompagner le projet d’amélioration des pratiques transfusionnelles au Liban. Dans le cadre de la mise en place de la politique d’</w:t>
      </w:r>
      <w:r w:rsidR="009A5A13" w:rsidRPr="0057205A">
        <w:rPr>
          <w:color w:val="000000" w:themeColor="text1"/>
        </w:rPr>
        <w:t>Hémovigilance</w:t>
      </w:r>
      <w:r w:rsidRPr="0057205A">
        <w:rPr>
          <w:color w:val="000000" w:themeColor="text1"/>
        </w:rPr>
        <w:t>, sa mission consiste</w:t>
      </w:r>
      <w:r w:rsidR="009475B5" w:rsidRPr="0057205A">
        <w:rPr>
          <w:color w:val="000000" w:themeColor="text1"/>
        </w:rPr>
        <w:t xml:space="preserve"> à</w:t>
      </w:r>
      <w:r w:rsidRPr="0057205A">
        <w:rPr>
          <w:color w:val="000000" w:themeColor="text1"/>
        </w:rPr>
        <w:t> :</w:t>
      </w:r>
    </w:p>
    <w:p w14:paraId="66B60638" w14:textId="77777777" w:rsidR="00D244C2" w:rsidRPr="0057205A" w:rsidRDefault="009475B5" w:rsidP="0057205A">
      <w:pPr>
        <w:pStyle w:val="Body"/>
        <w:numPr>
          <w:ilvl w:val="0"/>
          <w:numId w:val="3"/>
        </w:numPr>
        <w:tabs>
          <w:tab w:val="clear" w:pos="720"/>
          <w:tab w:val="num" w:pos="756"/>
        </w:tabs>
        <w:spacing w:after="105"/>
        <w:ind w:left="756" w:hanging="396"/>
        <w:jc w:val="both"/>
        <w:rPr>
          <w:rFonts w:eastAsia="Times New Roman"/>
          <w:color w:val="000000" w:themeColor="text1"/>
        </w:rPr>
      </w:pPr>
      <w:r w:rsidRPr="0057205A">
        <w:rPr>
          <w:rFonts w:eastAsia="Times New Roman"/>
          <w:color w:val="000000" w:themeColor="text1"/>
        </w:rPr>
        <w:t>P</w:t>
      </w:r>
      <w:r w:rsidR="00AA23BA" w:rsidRPr="0057205A">
        <w:rPr>
          <w:rFonts w:eastAsia="Times New Roman"/>
          <w:color w:val="000000" w:themeColor="text1"/>
        </w:rPr>
        <w:t xml:space="preserve">roposer les aspects </w:t>
      </w:r>
      <w:r w:rsidR="00D244C2" w:rsidRPr="0057205A">
        <w:rPr>
          <w:rFonts w:eastAsia="Times New Roman"/>
          <w:color w:val="000000" w:themeColor="text1"/>
        </w:rPr>
        <w:t>organisation</w:t>
      </w:r>
      <w:r w:rsidR="00AA23BA" w:rsidRPr="0057205A">
        <w:rPr>
          <w:rFonts w:eastAsia="Times New Roman"/>
          <w:color w:val="000000" w:themeColor="text1"/>
        </w:rPr>
        <w:t>nels</w:t>
      </w:r>
      <w:r w:rsidR="00D244C2" w:rsidRPr="0057205A">
        <w:rPr>
          <w:rFonts w:eastAsia="Times New Roman"/>
          <w:color w:val="000000" w:themeColor="text1"/>
        </w:rPr>
        <w:t xml:space="preserve"> de l’Hémovigilance nationale et de ses modalités de fonctionnement</w:t>
      </w:r>
      <w:r w:rsidR="00625646" w:rsidRPr="0057205A">
        <w:rPr>
          <w:rFonts w:eastAsia="Times New Roman"/>
          <w:color w:val="000000" w:themeColor="text1"/>
        </w:rPr>
        <w:t xml:space="preserve"> </w:t>
      </w:r>
      <w:r w:rsidRPr="0057205A">
        <w:rPr>
          <w:rFonts w:eastAsia="Times New Roman"/>
          <w:color w:val="000000" w:themeColor="text1"/>
        </w:rPr>
        <w:t>notamment la conception de la déclaration électronique</w:t>
      </w:r>
    </w:p>
    <w:p w14:paraId="70196F8D" w14:textId="77777777" w:rsidR="007F4669" w:rsidRPr="0057205A" w:rsidRDefault="009475B5" w:rsidP="0057205A">
      <w:pPr>
        <w:pStyle w:val="Body"/>
        <w:numPr>
          <w:ilvl w:val="0"/>
          <w:numId w:val="3"/>
        </w:numPr>
        <w:tabs>
          <w:tab w:val="clear" w:pos="720"/>
          <w:tab w:val="num" w:pos="756"/>
        </w:tabs>
        <w:spacing w:after="105"/>
        <w:ind w:left="756" w:hanging="396"/>
        <w:jc w:val="both"/>
        <w:rPr>
          <w:rFonts w:eastAsia="Times New Roman"/>
          <w:color w:val="000000" w:themeColor="text1"/>
        </w:rPr>
      </w:pPr>
      <w:r w:rsidRPr="0057205A">
        <w:rPr>
          <w:rFonts w:eastAsia="Times New Roman"/>
          <w:color w:val="000000" w:themeColor="text1"/>
        </w:rPr>
        <w:t>R</w:t>
      </w:r>
      <w:r w:rsidR="007F4669" w:rsidRPr="0057205A">
        <w:rPr>
          <w:rFonts w:eastAsia="Times New Roman"/>
          <w:color w:val="000000" w:themeColor="text1"/>
        </w:rPr>
        <w:t>ecueillir les incidents et effets indésirables relatifs aux activités transfusionnelles transmis par les CHES</w:t>
      </w:r>
    </w:p>
    <w:p w14:paraId="1AD972EE" w14:textId="77777777" w:rsidR="007F4669" w:rsidRPr="0057205A" w:rsidRDefault="009475B5" w:rsidP="0057205A">
      <w:pPr>
        <w:pStyle w:val="Body"/>
        <w:numPr>
          <w:ilvl w:val="0"/>
          <w:numId w:val="3"/>
        </w:numPr>
        <w:tabs>
          <w:tab w:val="clear" w:pos="720"/>
          <w:tab w:val="num" w:pos="756"/>
        </w:tabs>
        <w:spacing w:after="105"/>
        <w:ind w:left="756" w:hanging="396"/>
        <w:jc w:val="both"/>
        <w:rPr>
          <w:rFonts w:eastAsia="Times New Roman"/>
          <w:color w:val="000000" w:themeColor="text1"/>
        </w:rPr>
      </w:pPr>
      <w:r w:rsidRPr="0057205A">
        <w:rPr>
          <w:color w:val="000000" w:themeColor="text1"/>
        </w:rPr>
        <w:t>D</w:t>
      </w:r>
      <w:r w:rsidR="007F4669" w:rsidRPr="0057205A">
        <w:rPr>
          <w:color w:val="000000" w:themeColor="text1"/>
        </w:rPr>
        <w:t>iscuter des cas marquants d'effets indésirables et incidents déclarés par les CHES locaux et proposer, le cas échéant, des mesures d'investigations complémentaires et de suivi</w:t>
      </w:r>
    </w:p>
    <w:p w14:paraId="231ACDEF" w14:textId="77777777" w:rsidR="00AA23BA" w:rsidRPr="0057205A" w:rsidRDefault="00AA23BA" w:rsidP="0057205A">
      <w:pPr>
        <w:pStyle w:val="Body"/>
        <w:numPr>
          <w:ilvl w:val="0"/>
          <w:numId w:val="3"/>
        </w:numPr>
        <w:tabs>
          <w:tab w:val="clear" w:pos="720"/>
          <w:tab w:val="num" w:pos="756"/>
        </w:tabs>
        <w:spacing w:after="105"/>
        <w:ind w:left="756" w:hanging="396"/>
        <w:jc w:val="both"/>
        <w:rPr>
          <w:rFonts w:eastAsia="Times New Roman"/>
          <w:color w:val="000000" w:themeColor="text1"/>
        </w:rPr>
      </w:pPr>
      <w:r w:rsidRPr="0057205A">
        <w:rPr>
          <w:color w:val="000000" w:themeColor="text1"/>
        </w:rPr>
        <w:t xml:space="preserve">Donner un avis au </w:t>
      </w:r>
      <w:r w:rsidR="00563534" w:rsidRPr="0057205A">
        <w:rPr>
          <w:color w:val="000000" w:themeColor="text1"/>
        </w:rPr>
        <w:t>directeur général de la sante</w:t>
      </w:r>
      <w:r w:rsidRPr="0057205A">
        <w:rPr>
          <w:color w:val="000000" w:themeColor="text1"/>
        </w:rPr>
        <w:t xml:space="preserve"> sur les mesures à prendre pour prévenir, réduire ou faire cesser les risques liés aux PSL</w:t>
      </w:r>
    </w:p>
    <w:p w14:paraId="565B0983" w14:textId="77777777" w:rsidR="000430F1" w:rsidRPr="0057205A" w:rsidRDefault="009475B5" w:rsidP="0057205A">
      <w:pPr>
        <w:pStyle w:val="Body"/>
        <w:numPr>
          <w:ilvl w:val="0"/>
          <w:numId w:val="3"/>
        </w:numPr>
        <w:tabs>
          <w:tab w:val="clear" w:pos="720"/>
          <w:tab w:val="num" w:pos="756"/>
        </w:tabs>
        <w:spacing w:after="105"/>
        <w:ind w:left="756" w:hanging="396"/>
        <w:jc w:val="both"/>
        <w:rPr>
          <w:rFonts w:eastAsia="Times New Roman"/>
          <w:color w:val="000000" w:themeColor="text1"/>
        </w:rPr>
      </w:pPr>
      <w:r w:rsidRPr="0057205A">
        <w:rPr>
          <w:color w:val="000000" w:themeColor="text1"/>
        </w:rPr>
        <w:t>V</w:t>
      </w:r>
      <w:r w:rsidR="00ED5F28" w:rsidRPr="0057205A">
        <w:rPr>
          <w:color w:val="000000" w:themeColor="text1"/>
        </w:rPr>
        <w:t>eiller à la qualité du système de surveillance et à son amélioration continue</w:t>
      </w:r>
    </w:p>
    <w:p w14:paraId="7D88CF90" w14:textId="77777777" w:rsidR="000430F1" w:rsidRPr="0057205A" w:rsidRDefault="009475B5" w:rsidP="0057205A">
      <w:pPr>
        <w:pStyle w:val="Body"/>
        <w:numPr>
          <w:ilvl w:val="0"/>
          <w:numId w:val="3"/>
        </w:numPr>
        <w:tabs>
          <w:tab w:val="clear" w:pos="720"/>
          <w:tab w:val="num" w:pos="756"/>
        </w:tabs>
        <w:spacing w:after="105"/>
        <w:ind w:left="756" w:hanging="396"/>
        <w:jc w:val="both"/>
        <w:rPr>
          <w:rFonts w:eastAsia="Times New Roman"/>
          <w:color w:val="000000" w:themeColor="text1"/>
        </w:rPr>
      </w:pPr>
      <w:r w:rsidRPr="0057205A">
        <w:rPr>
          <w:color w:val="000000" w:themeColor="text1"/>
        </w:rPr>
        <w:t>Accompagner les</w:t>
      </w:r>
      <w:r w:rsidR="00ED5F28" w:rsidRPr="0057205A">
        <w:rPr>
          <w:color w:val="000000" w:themeColor="text1"/>
        </w:rPr>
        <w:t xml:space="preserve"> améliorations du système </w:t>
      </w:r>
      <w:r w:rsidR="00571E2F" w:rsidRPr="0057205A">
        <w:rPr>
          <w:color w:val="000000" w:themeColor="text1"/>
        </w:rPr>
        <w:t xml:space="preserve">de </w:t>
      </w:r>
      <w:r w:rsidR="00ED5F28" w:rsidRPr="0057205A">
        <w:rPr>
          <w:color w:val="000000" w:themeColor="text1"/>
        </w:rPr>
        <w:t xml:space="preserve">déclaration et de collecte des données </w:t>
      </w:r>
    </w:p>
    <w:p w14:paraId="048FB383" w14:textId="77777777" w:rsidR="000430F1" w:rsidRPr="0057205A" w:rsidRDefault="009475B5" w:rsidP="0057205A">
      <w:pPr>
        <w:pStyle w:val="Body"/>
        <w:numPr>
          <w:ilvl w:val="0"/>
          <w:numId w:val="3"/>
        </w:numPr>
        <w:tabs>
          <w:tab w:val="clear" w:pos="720"/>
          <w:tab w:val="num" w:pos="756"/>
        </w:tabs>
        <w:spacing w:after="105"/>
        <w:ind w:left="756" w:hanging="396"/>
        <w:jc w:val="both"/>
        <w:rPr>
          <w:rFonts w:eastAsia="Times New Roman"/>
          <w:color w:val="000000" w:themeColor="text1"/>
        </w:rPr>
      </w:pPr>
      <w:r w:rsidRPr="0057205A">
        <w:rPr>
          <w:color w:val="000000" w:themeColor="text1"/>
        </w:rPr>
        <w:t>V</w:t>
      </w:r>
      <w:r w:rsidR="00ED5F28" w:rsidRPr="0057205A">
        <w:rPr>
          <w:color w:val="000000" w:themeColor="text1"/>
        </w:rPr>
        <w:t>eiller à la cohérence du corpus documentaire de l'HV</w:t>
      </w:r>
    </w:p>
    <w:p w14:paraId="17E66728" w14:textId="77777777" w:rsidR="000430F1" w:rsidRPr="0057205A" w:rsidRDefault="009475B5" w:rsidP="0057205A">
      <w:pPr>
        <w:pStyle w:val="Body"/>
        <w:numPr>
          <w:ilvl w:val="0"/>
          <w:numId w:val="3"/>
        </w:numPr>
        <w:tabs>
          <w:tab w:val="clear" w:pos="720"/>
          <w:tab w:val="num" w:pos="756"/>
        </w:tabs>
        <w:spacing w:after="105"/>
        <w:ind w:left="756" w:hanging="396"/>
        <w:jc w:val="both"/>
        <w:rPr>
          <w:rFonts w:eastAsia="Times New Roman"/>
          <w:color w:val="000000" w:themeColor="text1"/>
        </w:rPr>
      </w:pPr>
      <w:r w:rsidRPr="0057205A">
        <w:rPr>
          <w:color w:val="000000" w:themeColor="text1"/>
        </w:rPr>
        <w:t>I</w:t>
      </w:r>
      <w:r w:rsidR="00ED5F28" w:rsidRPr="0057205A">
        <w:rPr>
          <w:color w:val="000000" w:themeColor="text1"/>
        </w:rPr>
        <w:t>dentifier des problématiques de terrain de ST</w:t>
      </w:r>
    </w:p>
    <w:p w14:paraId="7D1036B4" w14:textId="77777777" w:rsidR="000430F1" w:rsidRPr="0057205A" w:rsidRDefault="009475B5" w:rsidP="0057205A">
      <w:pPr>
        <w:pStyle w:val="Body"/>
        <w:numPr>
          <w:ilvl w:val="0"/>
          <w:numId w:val="3"/>
        </w:numPr>
        <w:tabs>
          <w:tab w:val="clear" w:pos="720"/>
          <w:tab w:val="num" w:pos="756"/>
        </w:tabs>
        <w:spacing w:after="105"/>
        <w:ind w:left="756" w:hanging="396"/>
        <w:jc w:val="both"/>
        <w:rPr>
          <w:rFonts w:eastAsia="Times New Roman"/>
          <w:color w:val="000000" w:themeColor="text1"/>
        </w:rPr>
      </w:pPr>
      <w:r w:rsidRPr="0057205A">
        <w:rPr>
          <w:color w:val="000000" w:themeColor="text1"/>
        </w:rPr>
        <w:t>P</w:t>
      </w:r>
      <w:r w:rsidR="007320B8" w:rsidRPr="0057205A">
        <w:rPr>
          <w:color w:val="000000" w:themeColor="text1"/>
        </w:rPr>
        <w:t xml:space="preserve">roposer au </w:t>
      </w:r>
      <w:r w:rsidR="00563534" w:rsidRPr="0057205A">
        <w:rPr>
          <w:color w:val="000000" w:themeColor="text1"/>
        </w:rPr>
        <w:t xml:space="preserve">directeur général de la </w:t>
      </w:r>
      <w:r w:rsidR="007320B8" w:rsidRPr="0057205A">
        <w:rPr>
          <w:color w:val="000000" w:themeColor="text1"/>
        </w:rPr>
        <w:t>S</w:t>
      </w:r>
      <w:r w:rsidR="00563534" w:rsidRPr="0057205A">
        <w:rPr>
          <w:color w:val="000000" w:themeColor="text1"/>
        </w:rPr>
        <w:t>ante</w:t>
      </w:r>
      <w:r w:rsidR="00ED5F28" w:rsidRPr="0057205A">
        <w:rPr>
          <w:color w:val="000000" w:themeColor="text1"/>
        </w:rPr>
        <w:t xml:space="preserve"> les enquêtes et travaux qu'il estime utiles à l'exercice de l'HV</w:t>
      </w:r>
    </w:p>
    <w:p w14:paraId="720F9B09" w14:textId="77777777" w:rsidR="000430F1" w:rsidRPr="0057205A" w:rsidRDefault="009475B5" w:rsidP="0057205A">
      <w:pPr>
        <w:pStyle w:val="Body"/>
        <w:numPr>
          <w:ilvl w:val="0"/>
          <w:numId w:val="3"/>
        </w:numPr>
        <w:tabs>
          <w:tab w:val="clear" w:pos="720"/>
          <w:tab w:val="num" w:pos="756"/>
        </w:tabs>
        <w:spacing w:after="105"/>
        <w:ind w:left="756" w:hanging="396"/>
        <w:jc w:val="both"/>
        <w:rPr>
          <w:rFonts w:eastAsia="Times New Roman"/>
          <w:color w:val="000000" w:themeColor="text1"/>
        </w:rPr>
      </w:pPr>
      <w:r w:rsidRPr="0057205A">
        <w:rPr>
          <w:color w:val="000000" w:themeColor="text1"/>
        </w:rPr>
        <w:t>A</w:t>
      </w:r>
      <w:r w:rsidR="00ED5F28" w:rsidRPr="0057205A">
        <w:rPr>
          <w:color w:val="000000" w:themeColor="text1"/>
        </w:rPr>
        <w:t xml:space="preserve">ssurer une veille bibliographique sur les publications nationales et internationales sur les données d'HV, inciter à l'exploitation scientifique des données </w:t>
      </w:r>
    </w:p>
    <w:p w14:paraId="5BBBAE04" w14:textId="77777777" w:rsidR="000430F1" w:rsidRPr="0057205A" w:rsidRDefault="009475B5" w:rsidP="0057205A">
      <w:pPr>
        <w:pStyle w:val="Body"/>
        <w:numPr>
          <w:ilvl w:val="0"/>
          <w:numId w:val="3"/>
        </w:numPr>
        <w:tabs>
          <w:tab w:val="clear" w:pos="720"/>
          <w:tab w:val="num" w:pos="756"/>
        </w:tabs>
        <w:spacing w:after="105"/>
        <w:ind w:left="756" w:hanging="396"/>
        <w:jc w:val="both"/>
        <w:rPr>
          <w:rFonts w:eastAsia="Times New Roman"/>
          <w:color w:val="000000" w:themeColor="text1"/>
        </w:rPr>
      </w:pPr>
      <w:r w:rsidRPr="0057205A">
        <w:rPr>
          <w:color w:val="000000" w:themeColor="text1"/>
        </w:rPr>
        <w:t>A</w:t>
      </w:r>
      <w:r w:rsidR="007F4669" w:rsidRPr="0057205A">
        <w:rPr>
          <w:color w:val="000000" w:themeColor="text1"/>
        </w:rPr>
        <w:t>nalyser les résultats des incidents</w:t>
      </w:r>
      <w:r w:rsidR="00ED5F28" w:rsidRPr="0057205A">
        <w:rPr>
          <w:color w:val="000000" w:themeColor="text1"/>
        </w:rPr>
        <w:t xml:space="preserve"> </w:t>
      </w:r>
      <w:r w:rsidR="00A611DC" w:rsidRPr="0057205A">
        <w:rPr>
          <w:color w:val="000000" w:themeColor="text1"/>
        </w:rPr>
        <w:t xml:space="preserve">et effets indésirables </w:t>
      </w:r>
      <w:r w:rsidR="007F4669" w:rsidRPr="0057205A">
        <w:rPr>
          <w:color w:val="000000" w:themeColor="text1"/>
        </w:rPr>
        <w:t>relatifs aux activités transfusionnelles dans</w:t>
      </w:r>
      <w:r w:rsidR="00ED5F28" w:rsidRPr="0057205A">
        <w:rPr>
          <w:color w:val="000000" w:themeColor="text1"/>
        </w:rPr>
        <w:t xml:space="preserve"> un rapport annuel sur l’HV et de présenter </w:t>
      </w:r>
      <w:r w:rsidR="007F4669" w:rsidRPr="0057205A">
        <w:rPr>
          <w:color w:val="000000" w:themeColor="text1"/>
        </w:rPr>
        <w:t xml:space="preserve">ces informations </w:t>
      </w:r>
      <w:r w:rsidR="00ED5F28" w:rsidRPr="0057205A">
        <w:rPr>
          <w:color w:val="000000" w:themeColor="text1"/>
        </w:rPr>
        <w:t xml:space="preserve">au </w:t>
      </w:r>
      <w:r w:rsidR="007F4669" w:rsidRPr="0057205A">
        <w:rPr>
          <w:color w:val="000000" w:themeColor="text1"/>
        </w:rPr>
        <w:t>MSP</w:t>
      </w:r>
    </w:p>
    <w:p w14:paraId="694B9A65" w14:textId="6552682B" w:rsidR="000430F1" w:rsidRPr="0057205A" w:rsidRDefault="009475B5" w:rsidP="0057205A">
      <w:pPr>
        <w:pStyle w:val="Body"/>
        <w:numPr>
          <w:ilvl w:val="0"/>
          <w:numId w:val="3"/>
        </w:numPr>
        <w:tabs>
          <w:tab w:val="clear" w:pos="720"/>
          <w:tab w:val="num" w:pos="756"/>
        </w:tabs>
        <w:spacing w:after="105"/>
        <w:ind w:left="756" w:hanging="396"/>
        <w:jc w:val="both"/>
        <w:rPr>
          <w:rFonts w:eastAsia="Times New Roman"/>
          <w:color w:val="000000" w:themeColor="text1"/>
        </w:rPr>
      </w:pPr>
      <w:r w:rsidRPr="0057205A">
        <w:rPr>
          <w:color w:val="000000" w:themeColor="text1"/>
        </w:rPr>
        <w:t>R</w:t>
      </w:r>
      <w:r w:rsidR="00ED5F28" w:rsidRPr="0057205A">
        <w:rPr>
          <w:color w:val="000000" w:themeColor="text1"/>
        </w:rPr>
        <w:t xml:space="preserve">éunir annuellement les </w:t>
      </w:r>
      <w:r w:rsidR="00563534" w:rsidRPr="0057205A">
        <w:rPr>
          <w:color w:val="000000" w:themeColor="text1"/>
        </w:rPr>
        <w:t>correspondants d’</w:t>
      </w:r>
      <w:r w:rsidR="009A5A13" w:rsidRPr="0057205A">
        <w:rPr>
          <w:color w:val="000000" w:themeColor="text1"/>
        </w:rPr>
        <w:t>hémovigilance</w:t>
      </w:r>
      <w:r w:rsidR="00ED5F28" w:rsidRPr="0057205A">
        <w:rPr>
          <w:color w:val="000000" w:themeColor="text1"/>
        </w:rPr>
        <w:t xml:space="preserve"> pour présenter le rapport et discuter des problématiques d’HV </w:t>
      </w:r>
    </w:p>
    <w:p w14:paraId="146F12CC" w14:textId="77777777" w:rsidR="000430F1" w:rsidRPr="0057205A" w:rsidRDefault="000430F1" w:rsidP="0057205A">
      <w:pPr>
        <w:pStyle w:val="Body"/>
        <w:spacing w:before="100" w:after="100"/>
        <w:jc w:val="both"/>
        <w:rPr>
          <w:rFonts w:eastAsia="Times New Roman Bold"/>
          <w:color w:val="000000" w:themeColor="text1"/>
          <w:sz w:val="24"/>
          <w:szCs w:val="24"/>
        </w:rPr>
      </w:pPr>
    </w:p>
    <w:p w14:paraId="0430EA7D" w14:textId="77777777" w:rsidR="000430F1" w:rsidRPr="0057205A" w:rsidRDefault="000430F1" w:rsidP="0057205A">
      <w:pPr>
        <w:pStyle w:val="Body"/>
        <w:spacing w:before="100" w:after="100"/>
        <w:jc w:val="both"/>
        <w:rPr>
          <w:rFonts w:eastAsia="Times New Roman Bold"/>
          <w:color w:val="000000" w:themeColor="text1"/>
          <w:sz w:val="24"/>
          <w:szCs w:val="24"/>
        </w:rPr>
      </w:pPr>
    </w:p>
    <w:p w14:paraId="63A070BC" w14:textId="77777777" w:rsidR="000430F1" w:rsidRPr="0057205A" w:rsidRDefault="000430F1" w:rsidP="0057205A">
      <w:pPr>
        <w:pStyle w:val="Body"/>
        <w:spacing w:before="100" w:after="100"/>
        <w:jc w:val="both"/>
        <w:rPr>
          <w:rFonts w:eastAsia="Times New Roman Bold"/>
          <w:color w:val="000000" w:themeColor="text1"/>
          <w:sz w:val="24"/>
          <w:szCs w:val="24"/>
        </w:rPr>
      </w:pPr>
    </w:p>
    <w:p w14:paraId="1D11C666" w14:textId="77777777" w:rsidR="000430F1" w:rsidRPr="0057205A" w:rsidRDefault="000430F1" w:rsidP="0057205A">
      <w:pPr>
        <w:pStyle w:val="Body"/>
        <w:spacing w:before="100" w:after="100"/>
        <w:jc w:val="both"/>
        <w:rPr>
          <w:rFonts w:eastAsia="Times New Roman Bold"/>
          <w:color w:val="000000" w:themeColor="text1"/>
          <w:sz w:val="24"/>
          <w:szCs w:val="24"/>
        </w:rPr>
      </w:pPr>
    </w:p>
    <w:p w14:paraId="4DF4F253" w14:textId="77777777" w:rsidR="000430F1" w:rsidRPr="0057205A" w:rsidRDefault="000430F1" w:rsidP="0057205A">
      <w:pPr>
        <w:pStyle w:val="Body"/>
        <w:spacing w:before="100" w:after="100"/>
        <w:jc w:val="both"/>
        <w:rPr>
          <w:rFonts w:eastAsia="Times New Roman Bold"/>
          <w:color w:val="000000" w:themeColor="text1"/>
          <w:sz w:val="24"/>
          <w:szCs w:val="24"/>
        </w:rPr>
      </w:pPr>
    </w:p>
    <w:p w14:paraId="490127A1" w14:textId="77777777" w:rsidR="000430F1" w:rsidRPr="0057205A" w:rsidRDefault="000430F1" w:rsidP="0057205A">
      <w:pPr>
        <w:pStyle w:val="Body"/>
        <w:spacing w:before="100" w:after="100"/>
        <w:jc w:val="both"/>
        <w:rPr>
          <w:rFonts w:eastAsia="Times New Roman Bold"/>
          <w:color w:val="000000" w:themeColor="text1"/>
          <w:sz w:val="24"/>
          <w:szCs w:val="24"/>
        </w:rPr>
      </w:pPr>
    </w:p>
    <w:p w14:paraId="4C5A1E49" w14:textId="77777777" w:rsidR="000430F1" w:rsidRPr="0057205A" w:rsidRDefault="000430F1" w:rsidP="0057205A">
      <w:pPr>
        <w:pStyle w:val="Body"/>
        <w:spacing w:before="100" w:after="100"/>
        <w:jc w:val="both"/>
        <w:rPr>
          <w:rFonts w:eastAsia="Times New Roman Bold"/>
          <w:color w:val="000000" w:themeColor="text1"/>
          <w:sz w:val="24"/>
          <w:szCs w:val="24"/>
        </w:rPr>
      </w:pPr>
    </w:p>
    <w:p w14:paraId="3848A558" w14:textId="77777777" w:rsidR="000430F1" w:rsidRPr="0057205A" w:rsidRDefault="000430F1" w:rsidP="0057205A">
      <w:pPr>
        <w:pStyle w:val="Body"/>
        <w:spacing w:before="100" w:after="100"/>
        <w:jc w:val="both"/>
        <w:rPr>
          <w:rFonts w:eastAsia="Times New Roman Bold"/>
          <w:color w:val="000000" w:themeColor="text1"/>
          <w:sz w:val="24"/>
          <w:szCs w:val="24"/>
        </w:rPr>
      </w:pPr>
    </w:p>
    <w:p w14:paraId="55FBFE1B" w14:textId="77777777" w:rsidR="000430F1" w:rsidRPr="0057205A" w:rsidRDefault="00ED5F28" w:rsidP="0057205A">
      <w:pPr>
        <w:pStyle w:val="Body"/>
        <w:jc w:val="both"/>
        <w:rPr>
          <w:color w:val="000000" w:themeColor="text1"/>
        </w:rPr>
      </w:pPr>
      <w:r w:rsidRPr="0057205A">
        <w:rPr>
          <w:rFonts w:eastAsia="Times New Roman"/>
          <w:color w:val="000000" w:themeColor="text1"/>
          <w:sz w:val="24"/>
          <w:szCs w:val="24"/>
        </w:rPr>
        <w:lastRenderedPageBreak/>
        <w:br w:type="page"/>
      </w:r>
    </w:p>
    <w:p w14:paraId="3F50232E" w14:textId="37A73AC4" w:rsidR="000430F1" w:rsidRPr="0057205A" w:rsidRDefault="00ED5F28" w:rsidP="0057205A">
      <w:pPr>
        <w:pStyle w:val="Heading1"/>
        <w:spacing w:line="276" w:lineRule="auto"/>
        <w:rPr>
          <w:rFonts w:ascii="Calibri" w:hAnsi="Calibri" w:cs="Calibri"/>
          <w:b/>
          <w:bCs/>
          <w:color w:val="C00000"/>
          <w:sz w:val="16"/>
          <w:szCs w:val="16"/>
        </w:rPr>
      </w:pPr>
      <w:bookmarkStart w:id="18" w:name="_Toc122019058"/>
      <w:proofErr w:type="spellStart"/>
      <w:r w:rsidRPr="0057205A">
        <w:rPr>
          <w:rFonts w:ascii="Calibri" w:hAnsi="Calibri" w:cs="Calibri"/>
          <w:b/>
          <w:bCs/>
          <w:color w:val="C00000"/>
          <w:sz w:val="28"/>
          <w:szCs w:val="28"/>
          <w:shd w:val="clear" w:color="auto" w:fill="C0C0C0"/>
        </w:rPr>
        <w:lastRenderedPageBreak/>
        <w:t>Annexe</w:t>
      </w:r>
      <w:proofErr w:type="spellEnd"/>
      <w:r w:rsidRPr="0057205A">
        <w:rPr>
          <w:rFonts w:ascii="Calibri" w:hAnsi="Calibri" w:cs="Calibri"/>
          <w:b/>
          <w:bCs/>
          <w:color w:val="C00000"/>
          <w:sz w:val="28"/>
          <w:szCs w:val="28"/>
          <w:shd w:val="clear" w:color="auto" w:fill="C0C0C0"/>
        </w:rPr>
        <w:t xml:space="preserve"> </w:t>
      </w:r>
      <w:r w:rsidR="0057205A" w:rsidRPr="0057205A">
        <w:rPr>
          <w:rFonts w:ascii="Calibri" w:hAnsi="Calibri" w:cs="Calibri"/>
          <w:b/>
          <w:bCs/>
          <w:color w:val="C00000"/>
          <w:sz w:val="28"/>
          <w:szCs w:val="28"/>
          <w:shd w:val="clear" w:color="auto" w:fill="C0C0C0"/>
        </w:rPr>
        <w:t>II:</w:t>
      </w:r>
      <w:r w:rsidRPr="0057205A">
        <w:rPr>
          <w:rFonts w:ascii="Calibri" w:hAnsi="Calibri" w:cs="Calibri"/>
          <w:b/>
          <w:bCs/>
          <w:color w:val="C00000"/>
          <w:sz w:val="28"/>
          <w:szCs w:val="28"/>
          <w:shd w:val="clear" w:color="auto" w:fill="C0C0C0"/>
        </w:rPr>
        <w:t xml:space="preserve"> CORRESPONDANT D'HEMOVIGILANCE D'ETABLISSEMENT DE S</w:t>
      </w:r>
      <w:r w:rsidR="00CB0CF8" w:rsidRPr="0057205A">
        <w:rPr>
          <w:rFonts w:ascii="Calibri" w:hAnsi="Calibri" w:cs="Calibri"/>
          <w:b/>
          <w:bCs/>
          <w:color w:val="C00000"/>
          <w:sz w:val="28"/>
          <w:szCs w:val="28"/>
          <w:shd w:val="clear" w:color="auto" w:fill="C0C0C0"/>
        </w:rPr>
        <w:t>ANTE</w:t>
      </w:r>
      <w:r w:rsidRPr="0057205A">
        <w:rPr>
          <w:rFonts w:ascii="Calibri" w:hAnsi="Calibri" w:cs="Calibri"/>
          <w:b/>
          <w:bCs/>
          <w:color w:val="C00000"/>
          <w:sz w:val="28"/>
          <w:szCs w:val="28"/>
          <w:shd w:val="clear" w:color="auto" w:fill="C0C0C0"/>
        </w:rPr>
        <w:t xml:space="preserve"> PUBLIC OU PRIVE, OU D’ETABLISSEMENT PRELEVEUR</w:t>
      </w:r>
      <w:bookmarkEnd w:id="18"/>
      <w:r w:rsidRPr="0057205A">
        <w:rPr>
          <w:rFonts w:ascii="Calibri" w:hAnsi="Calibri" w:cs="Calibri"/>
          <w:b/>
          <w:bCs/>
          <w:color w:val="C00000"/>
          <w:sz w:val="28"/>
          <w:szCs w:val="28"/>
          <w:shd w:val="clear" w:color="auto" w:fill="C0C0C0"/>
        </w:rPr>
        <w:t xml:space="preserve"> </w:t>
      </w:r>
    </w:p>
    <w:p w14:paraId="00627F98" w14:textId="77777777" w:rsidR="000430F1" w:rsidRPr="0057205A" w:rsidRDefault="000430F1" w:rsidP="0057205A">
      <w:pPr>
        <w:pStyle w:val="Body"/>
        <w:spacing w:after="0"/>
        <w:jc w:val="both"/>
        <w:rPr>
          <w:rFonts w:eastAsia="Times New Roman"/>
          <w:color w:val="000000" w:themeColor="text1"/>
          <w:sz w:val="20"/>
          <w:szCs w:val="20"/>
        </w:rPr>
      </w:pPr>
    </w:p>
    <w:p w14:paraId="01FA5EEF" w14:textId="2586358A" w:rsidR="000430F1" w:rsidRPr="0057205A" w:rsidRDefault="00ED5F28" w:rsidP="0057205A">
      <w:pPr>
        <w:pStyle w:val="Body"/>
        <w:spacing w:after="0"/>
        <w:jc w:val="both"/>
        <w:rPr>
          <w:rFonts w:eastAsia="Times New Roman Bold"/>
          <w:b/>
          <w:bCs/>
          <w:color w:val="000000" w:themeColor="text1"/>
        </w:rPr>
      </w:pPr>
      <w:r w:rsidRPr="0057205A">
        <w:rPr>
          <w:b/>
          <w:bCs/>
          <w:color w:val="000000" w:themeColor="text1"/>
        </w:rPr>
        <w:t>Profil :</w:t>
      </w:r>
      <w:r w:rsidR="00C52334" w:rsidRPr="0057205A">
        <w:rPr>
          <w:b/>
          <w:bCs/>
          <w:color w:val="000000" w:themeColor="text1"/>
        </w:rPr>
        <w:t xml:space="preserve"> </w:t>
      </w:r>
    </w:p>
    <w:p w14:paraId="7D18B8E8" w14:textId="053275BE" w:rsidR="000430F1" w:rsidRPr="0057205A" w:rsidRDefault="00ED5F28" w:rsidP="0057205A">
      <w:pPr>
        <w:pStyle w:val="Body"/>
        <w:spacing w:after="0"/>
        <w:jc w:val="both"/>
        <w:rPr>
          <w:rFonts w:eastAsia="Times New Roman"/>
          <w:color w:val="000000" w:themeColor="text1"/>
        </w:rPr>
      </w:pPr>
      <w:r w:rsidRPr="0057205A">
        <w:rPr>
          <w:color w:val="000000" w:themeColor="text1"/>
        </w:rPr>
        <w:t xml:space="preserve">Médecin </w:t>
      </w:r>
      <w:r w:rsidR="00C52334" w:rsidRPr="0057205A">
        <w:rPr>
          <w:color w:val="000000" w:themeColor="text1"/>
        </w:rPr>
        <w:t>spécialiste</w:t>
      </w:r>
      <w:r w:rsidRPr="0057205A">
        <w:rPr>
          <w:color w:val="000000" w:themeColor="text1"/>
        </w:rPr>
        <w:t xml:space="preserve"> possédant une </w:t>
      </w:r>
      <w:r w:rsidR="003D51F9" w:rsidRPr="0057205A">
        <w:rPr>
          <w:color w:val="000000" w:themeColor="text1"/>
        </w:rPr>
        <w:t>compétence</w:t>
      </w:r>
      <w:r w:rsidRPr="0057205A">
        <w:rPr>
          <w:color w:val="000000" w:themeColor="text1"/>
        </w:rPr>
        <w:t xml:space="preserve"> en </w:t>
      </w:r>
      <w:r w:rsidR="00C52334" w:rsidRPr="0057205A">
        <w:rPr>
          <w:color w:val="000000" w:themeColor="text1"/>
        </w:rPr>
        <w:t xml:space="preserve">Transfusion et </w:t>
      </w:r>
      <w:r w:rsidRPr="0057205A">
        <w:rPr>
          <w:color w:val="000000" w:themeColor="text1"/>
        </w:rPr>
        <w:t>HV. Le correspondant est désigné pour une durée de trois ans renouvelable</w:t>
      </w:r>
      <w:r w:rsidR="003D51F9" w:rsidRPr="0057205A">
        <w:rPr>
          <w:color w:val="000000" w:themeColor="text1"/>
        </w:rPr>
        <w:t>s</w:t>
      </w:r>
      <w:r w:rsidRPr="0057205A">
        <w:rPr>
          <w:color w:val="000000" w:themeColor="text1"/>
        </w:rPr>
        <w:t xml:space="preserve"> par l</w:t>
      </w:r>
      <w:r w:rsidR="008F05B7" w:rsidRPr="0057205A">
        <w:rPr>
          <w:color w:val="000000" w:themeColor="text1"/>
        </w:rPr>
        <w:t>a</w:t>
      </w:r>
      <w:r w:rsidRPr="0057205A">
        <w:rPr>
          <w:color w:val="000000" w:themeColor="text1"/>
        </w:rPr>
        <w:t xml:space="preserve"> direct</w:t>
      </w:r>
      <w:r w:rsidR="008F05B7" w:rsidRPr="0057205A">
        <w:rPr>
          <w:color w:val="000000" w:themeColor="text1"/>
        </w:rPr>
        <w:t>ion</w:t>
      </w:r>
      <w:r w:rsidRPr="0057205A">
        <w:rPr>
          <w:color w:val="000000" w:themeColor="text1"/>
        </w:rPr>
        <w:t xml:space="preserve"> de </w:t>
      </w:r>
      <w:r w:rsidR="00C52334" w:rsidRPr="0057205A">
        <w:rPr>
          <w:color w:val="000000" w:themeColor="text1"/>
        </w:rPr>
        <w:t>l’ES</w:t>
      </w:r>
      <w:r w:rsidRPr="0057205A">
        <w:rPr>
          <w:color w:val="000000" w:themeColor="text1"/>
        </w:rPr>
        <w:t>, après avis du CSTH</w:t>
      </w:r>
      <w:r w:rsidR="00F2265E" w:rsidRPr="0057205A">
        <w:rPr>
          <w:color w:val="000000" w:themeColor="text1"/>
        </w:rPr>
        <w:t xml:space="preserve"> dont il est </w:t>
      </w:r>
      <w:r w:rsidR="00A611DC" w:rsidRPr="0057205A">
        <w:rPr>
          <w:color w:val="000000" w:themeColor="text1"/>
        </w:rPr>
        <w:t xml:space="preserve">en principe </w:t>
      </w:r>
      <w:r w:rsidR="00F2265E" w:rsidRPr="0057205A">
        <w:rPr>
          <w:color w:val="000000" w:themeColor="text1"/>
        </w:rPr>
        <w:t>le coordinateur</w:t>
      </w:r>
      <w:r w:rsidRPr="0057205A">
        <w:rPr>
          <w:color w:val="000000" w:themeColor="text1"/>
        </w:rPr>
        <w:t xml:space="preserve">. </w:t>
      </w:r>
      <w:r w:rsidR="00A84A18" w:rsidRPr="0057205A">
        <w:rPr>
          <w:color w:val="000000" w:themeColor="text1"/>
        </w:rPr>
        <w:t>Son nom est communiqué au C</w:t>
      </w:r>
      <w:r w:rsidR="009475B5" w:rsidRPr="0057205A">
        <w:rPr>
          <w:color w:val="000000" w:themeColor="text1"/>
        </w:rPr>
        <w:t>LTS</w:t>
      </w:r>
      <w:r w:rsidR="00A84A18" w:rsidRPr="0057205A">
        <w:rPr>
          <w:color w:val="000000" w:themeColor="text1"/>
        </w:rPr>
        <w:t xml:space="preserve"> dans les 3 jours suivant sa nomination.</w:t>
      </w:r>
      <w:r w:rsidR="003D51F9" w:rsidRPr="0057205A">
        <w:rPr>
          <w:color w:val="000000" w:themeColor="text1"/>
        </w:rPr>
        <w:t xml:space="preserve"> </w:t>
      </w:r>
      <w:r w:rsidR="00A71327" w:rsidRPr="0057205A">
        <w:rPr>
          <w:color w:val="000000" w:themeColor="text1"/>
        </w:rPr>
        <w:t>Il suivra</w:t>
      </w:r>
      <w:r w:rsidR="003D51F9" w:rsidRPr="0057205A">
        <w:rPr>
          <w:color w:val="000000" w:themeColor="text1"/>
        </w:rPr>
        <w:t xml:space="preserve"> régulièrement </w:t>
      </w:r>
      <w:r w:rsidR="006176E8" w:rsidRPr="0057205A">
        <w:rPr>
          <w:color w:val="000000" w:themeColor="text1"/>
        </w:rPr>
        <w:t xml:space="preserve">les réunions annuelles en HV et le cas échéant </w:t>
      </w:r>
      <w:r w:rsidR="00A71327" w:rsidRPr="0057205A">
        <w:rPr>
          <w:color w:val="000000" w:themeColor="text1"/>
        </w:rPr>
        <w:t>les</w:t>
      </w:r>
      <w:r w:rsidR="003D51F9" w:rsidRPr="0057205A">
        <w:rPr>
          <w:color w:val="000000" w:themeColor="text1"/>
        </w:rPr>
        <w:t xml:space="preserve"> séminaires</w:t>
      </w:r>
      <w:r w:rsidR="00A71327" w:rsidRPr="0057205A">
        <w:rPr>
          <w:color w:val="000000" w:themeColor="text1"/>
        </w:rPr>
        <w:t xml:space="preserve"> de </w:t>
      </w:r>
      <w:r w:rsidR="009A5A13" w:rsidRPr="0057205A">
        <w:rPr>
          <w:color w:val="000000" w:themeColor="text1"/>
        </w:rPr>
        <w:t>formation mises</w:t>
      </w:r>
      <w:r w:rsidR="00A71327" w:rsidRPr="0057205A">
        <w:rPr>
          <w:color w:val="000000" w:themeColor="text1"/>
        </w:rPr>
        <w:t xml:space="preserve"> en place par le MSP.</w:t>
      </w:r>
    </w:p>
    <w:p w14:paraId="387AA46E" w14:textId="77777777" w:rsidR="000430F1" w:rsidRPr="0057205A" w:rsidRDefault="000430F1" w:rsidP="0057205A">
      <w:pPr>
        <w:pStyle w:val="Body"/>
        <w:spacing w:after="0"/>
        <w:jc w:val="both"/>
        <w:rPr>
          <w:rFonts w:eastAsia="Times New Roman"/>
          <w:color w:val="000000" w:themeColor="text1"/>
        </w:rPr>
      </w:pPr>
    </w:p>
    <w:p w14:paraId="0CBF46F2" w14:textId="28C0BBC9" w:rsidR="000430F1" w:rsidRPr="0057205A" w:rsidRDefault="00ED5F28" w:rsidP="0057205A">
      <w:pPr>
        <w:pStyle w:val="Body"/>
        <w:spacing w:after="0"/>
        <w:jc w:val="both"/>
        <w:rPr>
          <w:rFonts w:eastAsia="Times New Roman Bold"/>
          <w:b/>
          <w:bCs/>
          <w:color w:val="000000" w:themeColor="text1"/>
        </w:rPr>
      </w:pPr>
      <w:r w:rsidRPr="0057205A">
        <w:rPr>
          <w:b/>
          <w:bCs/>
          <w:color w:val="000000" w:themeColor="text1"/>
        </w:rPr>
        <w:t>Missions :</w:t>
      </w:r>
    </w:p>
    <w:p w14:paraId="21115BF3" w14:textId="77777777" w:rsidR="000430F1" w:rsidRPr="0057205A" w:rsidRDefault="00A71327" w:rsidP="0057205A">
      <w:pPr>
        <w:pStyle w:val="ListParagraph"/>
        <w:numPr>
          <w:ilvl w:val="0"/>
          <w:numId w:val="4"/>
        </w:numPr>
        <w:tabs>
          <w:tab w:val="clear" w:pos="720"/>
          <w:tab w:val="num" w:pos="756"/>
        </w:tabs>
        <w:spacing w:after="0"/>
        <w:ind w:left="756" w:hanging="396"/>
        <w:jc w:val="both"/>
        <w:rPr>
          <w:rFonts w:eastAsia="Times New Roman"/>
          <w:color w:val="000000" w:themeColor="text1"/>
          <w:lang w:val="fr-FR"/>
        </w:rPr>
      </w:pPr>
      <w:r w:rsidRPr="0057205A">
        <w:rPr>
          <w:color w:val="000000" w:themeColor="text1"/>
          <w:lang w:val="fr-FR"/>
        </w:rPr>
        <w:t>P</w:t>
      </w:r>
      <w:r w:rsidR="008D2C7E" w:rsidRPr="0057205A">
        <w:rPr>
          <w:color w:val="000000" w:themeColor="text1"/>
          <w:lang w:val="fr-FR"/>
        </w:rPr>
        <w:t xml:space="preserve">articiper </w:t>
      </w:r>
      <w:r w:rsidR="00193DAB" w:rsidRPr="0057205A">
        <w:rPr>
          <w:color w:val="000000" w:themeColor="text1"/>
          <w:lang w:val="fr-FR"/>
        </w:rPr>
        <w:t xml:space="preserve">à </w:t>
      </w:r>
      <w:r w:rsidR="008D2C7E" w:rsidRPr="0057205A">
        <w:rPr>
          <w:color w:val="000000" w:themeColor="text1"/>
          <w:lang w:val="fr-FR"/>
        </w:rPr>
        <w:t xml:space="preserve">la </w:t>
      </w:r>
      <w:r w:rsidR="00193DAB" w:rsidRPr="0057205A">
        <w:rPr>
          <w:color w:val="000000" w:themeColor="text1"/>
          <w:lang w:val="fr-FR"/>
        </w:rPr>
        <w:t>rédaction</w:t>
      </w:r>
      <w:r w:rsidR="008D2C7E" w:rsidRPr="0057205A">
        <w:rPr>
          <w:color w:val="000000" w:themeColor="text1"/>
          <w:lang w:val="fr-FR"/>
        </w:rPr>
        <w:t xml:space="preserve"> et suivre </w:t>
      </w:r>
      <w:r w:rsidR="00ED5F28" w:rsidRPr="0057205A">
        <w:rPr>
          <w:color w:val="000000" w:themeColor="text1"/>
          <w:lang w:val="fr-FR"/>
        </w:rPr>
        <w:t xml:space="preserve">les protocoles </w:t>
      </w:r>
      <w:r w:rsidR="008D2C7E" w:rsidRPr="0057205A">
        <w:rPr>
          <w:color w:val="000000" w:themeColor="text1"/>
          <w:lang w:val="fr-FR"/>
        </w:rPr>
        <w:t>utilisant les PSL</w:t>
      </w:r>
      <w:r w:rsidR="00ED5F28" w:rsidRPr="0057205A">
        <w:rPr>
          <w:color w:val="000000" w:themeColor="text1"/>
          <w:lang w:val="fr-FR"/>
        </w:rPr>
        <w:t xml:space="preserve"> dans son établissement</w:t>
      </w:r>
      <w:r w:rsidR="008F05B7" w:rsidRPr="0057205A">
        <w:rPr>
          <w:color w:val="000000" w:themeColor="text1"/>
          <w:lang w:val="fr-FR"/>
        </w:rPr>
        <w:t xml:space="preserve"> </w:t>
      </w:r>
    </w:p>
    <w:p w14:paraId="32014F4C" w14:textId="77777777" w:rsidR="000430F1" w:rsidRPr="0057205A" w:rsidRDefault="00ED5F28" w:rsidP="0057205A">
      <w:pPr>
        <w:pStyle w:val="ListParagraph"/>
        <w:numPr>
          <w:ilvl w:val="0"/>
          <w:numId w:val="4"/>
        </w:numPr>
        <w:tabs>
          <w:tab w:val="clear" w:pos="720"/>
          <w:tab w:val="num" w:pos="756"/>
        </w:tabs>
        <w:spacing w:after="0"/>
        <w:ind w:left="756" w:hanging="396"/>
        <w:jc w:val="both"/>
        <w:rPr>
          <w:rFonts w:eastAsia="Times New Roman"/>
          <w:color w:val="000000" w:themeColor="text1"/>
          <w:lang w:val="fr-FR"/>
        </w:rPr>
      </w:pPr>
      <w:r w:rsidRPr="0057205A">
        <w:rPr>
          <w:color w:val="000000" w:themeColor="text1"/>
          <w:lang w:val="fr-FR"/>
        </w:rPr>
        <w:t>Participer aux réunions des services utilisateurs de PSL</w:t>
      </w:r>
    </w:p>
    <w:p w14:paraId="774BDE2A" w14:textId="77777777" w:rsidR="000430F1" w:rsidRPr="0057205A" w:rsidRDefault="00ED5F28" w:rsidP="0057205A">
      <w:pPr>
        <w:pStyle w:val="ListParagraph"/>
        <w:numPr>
          <w:ilvl w:val="0"/>
          <w:numId w:val="4"/>
        </w:numPr>
        <w:tabs>
          <w:tab w:val="clear" w:pos="720"/>
          <w:tab w:val="num" w:pos="756"/>
        </w:tabs>
        <w:spacing w:after="0"/>
        <w:ind w:left="756" w:hanging="396"/>
        <w:jc w:val="both"/>
        <w:rPr>
          <w:rFonts w:eastAsia="Times New Roman"/>
          <w:color w:val="000000" w:themeColor="text1"/>
          <w:lang w:val="fr-FR"/>
        </w:rPr>
      </w:pPr>
      <w:r w:rsidRPr="0057205A">
        <w:rPr>
          <w:color w:val="000000" w:themeColor="text1"/>
          <w:lang w:val="fr-FR"/>
        </w:rPr>
        <w:t>Participer aux sessions de formation continue et d'information pour les prescripteurs et les utilisateurs de PSL des différents secteurs de l'ES (néonatologie, pédiatrie, réanimation, anesthésie, hématologie...)</w:t>
      </w:r>
    </w:p>
    <w:p w14:paraId="3496DD01" w14:textId="77777777" w:rsidR="000430F1" w:rsidRPr="0057205A" w:rsidRDefault="00ED5F28" w:rsidP="0057205A">
      <w:pPr>
        <w:pStyle w:val="ListParagraph"/>
        <w:numPr>
          <w:ilvl w:val="0"/>
          <w:numId w:val="4"/>
        </w:numPr>
        <w:tabs>
          <w:tab w:val="clear" w:pos="720"/>
          <w:tab w:val="num" w:pos="756"/>
        </w:tabs>
        <w:spacing w:after="0"/>
        <w:ind w:left="756" w:hanging="396"/>
        <w:jc w:val="both"/>
        <w:rPr>
          <w:rFonts w:eastAsia="Times New Roman"/>
          <w:color w:val="000000" w:themeColor="text1"/>
          <w:lang w:val="fr-FR"/>
        </w:rPr>
      </w:pPr>
      <w:r w:rsidRPr="0057205A">
        <w:rPr>
          <w:color w:val="000000" w:themeColor="text1"/>
          <w:lang w:val="fr-FR"/>
        </w:rPr>
        <w:t xml:space="preserve">S'assurer du recueil et de la conservation des données : </w:t>
      </w:r>
    </w:p>
    <w:p w14:paraId="1AA950FF" w14:textId="37A9E182" w:rsidR="000430F1" w:rsidRPr="0057205A" w:rsidRDefault="009A5A13" w:rsidP="0057205A">
      <w:pPr>
        <w:pStyle w:val="ListParagraph"/>
        <w:numPr>
          <w:ilvl w:val="1"/>
          <w:numId w:val="5"/>
        </w:numPr>
        <w:tabs>
          <w:tab w:val="clear" w:pos="1440"/>
          <w:tab w:val="num" w:pos="1476"/>
        </w:tabs>
        <w:spacing w:after="0"/>
        <w:ind w:left="1476" w:hanging="396"/>
        <w:jc w:val="both"/>
        <w:rPr>
          <w:rFonts w:eastAsia="Times New Roman"/>
          <w:color w:val="000000" w:themeColor="text1"/>
          <w:lang w:val="fr-FR"/>
        </w:rPr>
      </w:pPr>
      <w:r w:rsidRPr="0057205A">
        <w:rPr>
          <w:color w:val="000000" w:themeColor="text1"/>
          <w:lang w:val="fr-FR"/>
        </w:rPr>
        <w:t>Vérifier</w:t>
      </w:r>
      <w:r w:rsidR="00ED5F28" w:rsidRPr="0057205A">
        <w:rPr>
          <w:color w:val="000000" w:themeColor="text1"/>
          <w:lang w:val="fr-FR"/>
        </w:rPr>
        <w:t xml:space="preserve"> l’application de la règlementation en vigueur</w:t>
      </w:r>
    </w:p>
    <w:p w14:paraId="6C95141C" w14:textId="3D13D414" w:rsidR="000430F1" w:rsidRPr="0057205A" w:rsidRDefault="009A5A13" w:rsidP="0057205A">
      <w:pPr>
        <w:pStyle w:val="ListParagraph"/>
        <w:numPr>
          <w:ilvl w:val="1"/>
          <w:numId w:val="6"/>
        </w:numPr>
        <w:tabs>
          <w:tab w:val="clear" w:pos="1440"/>
          <w:tab w:val="num" w:pos="1476"/>
        </w:tabs>
        <w:spacing w:after="0"/>
        <w:ind w:left="1476" w:hanging="396"/>
        <w:jc w:val="both"/>
        <w:rPr>
          <w:rFonts w:eastAsia="Times New Roman"/>
          <w:color w:val="000000" w:themeColor="text1"/>
          <w:lang w:val="fr-FR"/>
        </w:rPr>
      </w:pPr>
      <w:r w:rsidRPr="0057205A">
        <w:rPr>
          <w:color w:val="000000" w:themeColor="text1"/>
          <w:lang w:val="fr-FR"/>
        </w:rPr>
        <w:t>Mettre</w:t>
      </w:r>
      <w:r w:rsidR="00ED5F28" w:rsidRPr="0057205A">
        <w:rPr>
          <w:color w:val="000000" w:themeColor="text1"/>
          <w:lang w:val="fr-FR"/>
        </w:rPr>
        <w:t xml:space="preserve"> en place une organisation permettant la traçabilité des PSL dans l'ES</w:t>
      </w:r>
    </w:p>
    <w:p w14:paraId="2E316F55" w14:textId="77777777" w:rsidR="000430F1" w:rsidRPr="0057205A" w:rsidRDefault="00ED5F28" w:rsidP="0057205A">
      <w:pPr>
        <w:pStyle w:val="ListParagraph"/>
        <w:numPr>
          <w:ilvl w:val="0"/>
          <w:numId w:val="4"/>
        </w:numPr>
        <w:tabs>
          <w:tab w:val="clear" w:pos="720"/>
          <w:tab w:val="num" w:pos="756"/>
        </w:tabs>
        <w:spacing w:after="0"/>
        <w:ind w:left="756" w:hanging="396"/>
        <w:jc w:val="both"/>
        <w:rPr>
          <w:rFonts w:eastAsia="Times New Roman"/>
          <w:color w:val="000000" w:themeColor="text1"/>
          <w:lang w:val="fr-FR"/>
        </w:rPr>
      </w:pPr>
      <w:r w:rsidRPr="0057205A">
        <w:rPr>
          <w:color w:val="000000" w:themeColor="text1"/>
          <w:lang w:val="fr-FR"/>
        </w:rPr>
        <w:t xml:space="preserve">Prendre en charge les actions de ST : </w:t>
      </w:r>
    </w:p>
    <w:p w14:paraId="3988DEC7" w14:textId="00E7AC91" w:rsidR="000430F1" w:rsidRPr="0057205A" w:rsidRDefault="009A5A13" w:rsidP="0057205A">
      <w:pPr>
        <w:pStyle w:val="ListParagraph"/>
        <w:numPr>
          <w:ilvl w:val="1"/>
          <w:numId w:val="7"/>
        </w:numPr>
        <w:tabs>
          <w:tab w:val="clear" w:pos="1440"/>
          <w:tab w:val="num" w:pos="1476"/>
        </w:tabs>
        <w:spacing w:after="0"/>
        <w:ind w:left="1476" w:hanging="396"/>
        <w:jc w:val="both"/>
        <w:rPr>
          <w:rFonts w:eastAsia="Times New Roman"/>
          <w:color w:val="000000" w:themeColor="text1"/>
          <w:lang w:val="fr-FR"/>
        </w:rPr>
      </w:pPr>
      <w:r w:rsidRPr="0057205A">
        <w:rPr>
          <w:color w:val="000000" w:themeColor="text1"/>
          <w:lang w:val="fr-FR"/>
        </w:rPr>
        <w:t>Contrôle</w:t>
      </w:r>
      <w:r w:rsidR="00ED5F28" w:rsidRPr="0057205A">
        <w:rPr>
          <w:color w:val="000000" w:themeColor="text1"/>
        </w:rPr>
        <w:t>r les circuits</w:t>
      </w:r>
    </w:p>
    <w:p w14:paraId="52D75C65" w14:textId="28239C53" w:rsidR="000430F1" w:rsidRPr="0057205A" w:rsidRDefault="009A5A13" w:rsidP="0057205A">
      <w:pPr>
        <w:pStyle w:val="ListParagraph"/>
        <w:numPr>
          <w:ilvl w:val="1"/>
          <w:numId w:val="8"/>
        </w:numPr>
        <w:tabs>
          <w:tab w:val="clear" w:pos="1440"/>
          <w:tab w:val="num" w:pos="1476"/>
        </w:tabs>
        <w:spacing w:after="0"/>
        <w:ind w:left="1476" w:hanging="396"/>
        <w:jc w:val="both"/>
        <w:rPr>
          <w:rFonts w:eastAsia="Times New Roman"/>
          <w:color w:val="000000" w:themeColor="text1"/>
          <w:lang w:val="fr-FR"/>
        </w:rPr>
      </w:pPr>
      <w:r w:rsidRPr="0057205A">
        <w:rPr>
          <w:color w:val="000000" w:themeColor="text1"/>
          <w:lang w:val="fr-FR"/>
        </w:rPr>
        <w:t>Contrôle</w:t>
      </w:r>
      <w:r w:rsidR="00ED5F28" w:rsidRPr="0057205A">
        <w:rPr>
          <w:color w:val="000000" w:themeColor="text1"/>
          <w:lang w:val="fr-FR"/>
        </w:rPr>
        <w:t>r les conditions de stockage</w:t>
      </w:r>
    </w:p>
    <w:p w14:paraId="2B00824F" w14:textId="0C8BB897" w:rsidR="000430F1" w:rsidRPr="0057205A" w:rsidRDefault="009A5A13" w:rsidP="0057205A">
      <w:pPr>
        <w:pStyle w:val="ListParagraph"/>
        <w:numPr>
          <w:ilvl w:val="1"/>
          <w:numId w:val="9"/>
        </w:numPr>
        <w:tabs>
          <w:tab w:val="clear" w:pos="1440"/>
          <w:tab w:val="num" w:pos="1476"/>
        </w:tabs>
        <w:spacing w:after="0"/>
        <w:ind w:left="1476" w:hanging="396"/>
        <w:jc w:val="both"/>
        <w:rPr>
          <w:rFonts w:eastAsia="Times New Roman"/>
          <w:color w:val="000000" w:themeColor="text1"/>
          <w:lang w:val="fr-FR"/>
        </w:rPr>
      </w:pPr>
      <w:r w:rsidRPr="0057205A">
        <w:rPr>
          <w:color w:val="000000" w:themeColor="text1"/>
          <w:lang w:val="fr-FR"/>
        </w:rPr>
        <w:t>Contrôler</w:t>
      </w:r>
      <w:r w:rsidR="00ED5F28" w:rsidRPr="0057205A">
        <w:rPr>
          <w:color w:val="000000" w:themeColor="text1"/>
          <w:lang w:val="fr-FR"/>
        </w:rPr>
        <w:t xml:space="preserve"> les conditions de retour des PSL non utilisés</w:t>
      </w:r>
    </w:p>
    <w:p w14:paraId="4D93CE97" w14:textId="7E1AC8BD" w:rsidR="000430F1" w:rsidRPr="0057205A" w:rsidRDefault="009A5A13" w:rsidP="0057205A">
      <w:pPr>
        <w:pStyle w:val="ListParagraph"/>
        <w:numPr>
          <w:ilvl w:val="1"/>
          <w:numId w:val="10"/>
        </w:numPr>
        <w:tabs>
          <w:tab w:val="clear" w:pos="1440"/>
          <w:tab w:val="num" w:pos="1476"/>
        </w:tabs>
        <w:spacing w:after="0"/>
        <w:ind w:left="1476" w:hanging="396"/>
        <w:jc w:val="both"/>
        <w:rPr>
          <w:rFonts w:eastAsia="Times New Roman"/>
          <w:color w:val="000000" w:themeColor="text1"/>
          <w:lang w:val="fr-FR"/>
        </w:rPr>
      </w:pPr>
      <w:r w:rsidRPr="0057205A">
        <w:rPr>
          <w:color w:val="000000" w:themeColor="text1"/>
          <w:lang w:val="fr-FR"/>
        </w:rPr>
        <w:t>Contrôler</w:t>
      </w:r>
      <w:r w:rsidR="00ED5F28" w:rsidRPr="0057205A">
        <w:rPr>
          <w:color w:val="000000" w:themeColor="text1"/>
          <w:lang w:val="fr-FR"/>
        </w:rPr>
        <w:t xml:space="preserve"> les pratiques de transfusion autologue péri-opératoire</w:t>
      </w:r>
    </w:p>
    <w:p w14:paraId="3A69520B" w14:textId="77777777" w:rsidR="000430F1" w:rsidRPr="0057205A" w:rsidRDefault="00ED5F28" w:rsidP="0057205A">
      <w:pPr>
        <w:pStyle w:val="ListParagraph"/>
        <w:numPr>
          <w:ilvl w:val="0"/>
          <w:numId w:val="4"/>
        </w:numPr>
        <w:tabs>
          <w:tab w:val="clear" w:pos="720"/>
          <w:tab w:val="num" w:pos="756"/>
        </w:tabs>
        <w:spacing w:after="0"/>
        <w:ind w:left="756" w:hanging="396"/>
        <w:jc w:val="both"/>
        <w:rPr>
          <w:rFonts w:eastAsia="Times New Roman"/>
          <w:color w:val="000000" w:themeColor="text1"/>
          <w:lang w:val="fr-FR"/>
        </w:rPr>
      </w:pPr>
      <w:r w:rsidRPr="0057205A">
        <w:rPr>
          <w:color w:val="000000" w:themeColor="text1"/>
          <w:lang w:val="fr-FR"/>
        </w:rPr>
        <w:t>Signaler et</w:t>
      </w:r>
      <w:r w:rsidR="00193DAB" w:rsidRPr="0057205A">
        <w:rPr>
          <w:color w:val="000000" w:themeColor="text1"/>
          <w:lang w:val="fr-FR"/>
        </w:rPr>
        <w:t xml:space="preserve"> suivre tout effet indésirable :</w:t>
      </w:r>
    </w:p>
    <w:p w14:paraId="757D4C01" w14:textId="1914E42D" w:rsidR="00193DAB" w:rsidRPr="0057205A" w:rsidRDefault="00193DAB" w:rsidP="0057205A">
      <w:pPr>
        <w:pStyle w:val="ListParagraph"/>
        <w:numPr>
          <w:ilvl w:val="1"/>
          <w:numId w:val="4"/>
        </w:numPr>
        <w:spacing w:after="0"/>
        <w:jc w:val="both"/>
        <w:rPr>
          <w:rFonts w:eastAsia="Times New Roman"/>
          <w:color w:val="000000" w:themeColor="text1"/>
          <w:lang w:val="fr-FR"/>
        </w:rPr>
      </w:pPr>
      <w:r w:rsidRPr="0057205A">
        <w:rPr>
          <w:color w:val="000000" w:themeColor="text1"/>
          <w:lang w:val="fr-FR"/>
        </w:rPr>
        <w:t xml:space="preserve">  </w:t>
      </w:r>
      <w:r w:rsidR="009A5A13" w:rsidRPr="0057205A">
        <w:rPr>
          <w:color w:val="000000" w:themeColor="text1"/>
          <w:lang w:val="fr-FR"/>
        </w:rPr>
        <w:t>Réaliser</w:t>
      </w:r>
      <w:r w:rsidRPr="0057205A">
        <w:rPr>
          <w:color w:val="000000" w:themeColor="text1"/>
          <w:lang w:val="fr-FR"/>
        </w:rPr>
        <w:t xml:space="preserve"> les enquêtes transfusionnelles ascendantes ou descendantes nécessaires</w:t>
      </w:r>
    </w:p>
    <w:p w14:paraId="62D9C4A9" w14:textId="10C87E48" w:rsidR="000430F1" w:rsidRPr="0057205A" w:rsidRDefault="009A5A13" w:rsidP="0057205A">
      <w:pPr>
        <w:pStyle w:val="ListParagraph"/>
        <w:numPr>
          <w:ilvl w:val="1"/>
          <w:numId w:val="11"/>
        </w:numPr>
        <w:tabs>
          <w:tab w:val="clear" w:pos="1440"/>
          <w:tab w:val="num" w:pos="1476"/>
        </w:tabs>
        <w:spacing w:after="0"/>
        <w:ind w:left="1476" w:hanging="396"/>
        <w:jc w:val="both"/>
        <w:rPr>
          <w:rFonts w:eastAsia="Times New Roman"/>
          <w:color w:val="000000" w:themeColor="text1"/>
          <w:lang w:val="fr-FR"/>
        </w:rPr>
      </w:pPr>
      <w:r w:rsidRPr="0057205A">
        <w:rPr>
          <w:color w:val="000000" w:themeColor="text1"/>
          <w:lang w:val="fr-FR"/>
        </w:rPr>
        <w:t>Remplir</w:t>
      </w:r>
      <w:r w:rsidR="002F435E" w:rsidRPr="0057205A">
        <w:rPr>
          <w:color w:val="000000" w:themeColor="text1"/>
          <w:lang w:val="fr-FR"/>
        </w:rPr>
        <w:t xml:space="preserve"> la FIT et F</w:t>
      </w:r>
      <w:r w:rsidR="007D405D" w:rsidRPr="0057205A">
        <w:rPr>
          <w:color w:val="000000" w:themeColor="text1"/>
          <w:lang w:val="fr-FR"/>
        </w:rPr>
        <w:t>E</w:t>
      </w:r>
      <w:r w:rsidR="00ED5F28" w:rsidRPr="0057205A">
        <w:rPr>
          <w:color w:val="000000" w:themeColor="text1"/>
          <w:lang w:val="fr-FR"/>
        </w:rPr>
        <w:t>IGD</w:t>
      </w:r>
    </w:p>
    <w:p w14:paraId="575A82CD" w14:textId="22F757AC" w:rsidR="00D02603" w:rsidRPr="0057205A" w:rsidRDefault="009A5A13" w:rsidP="0057205A">
      <w:pPr>
        <w:pStyle w:val="ListParagraph"/>
        <w:numPr>
          <w:ilvl w:val="1"/>
          <w:numId w:val="11"/>
        </w:numPr>
        <w:tabs>
          <w:tab w:val="clear" w:pos="1440"/>
          <w:tab w:val="num" w:pos="1476"/>
        </w:tabs>
        <w:spacing w:after="0"/>
        <w:ind w:left="1476" w:hanging="396"/>
        <w:jc w:val="both"/>
        <w:rPr>
          <w:rFonts w:eastAsia="Times New Roman"/>
          <w:color w:val="000000" w:themeColor="text1"/>
          <w:lang w:val="fr-FR"/>
        </w:rPr>
      </w:pPr>
      <w:r w:rsidRPr="0057205A">
        <w:rPr>
          <w:color w:val="000000" w:themeColor="text1"/>
          <w:lang w:val="fr-FR"/>
        </w:rPr>
        <w:t>Déclarer</w:t>
      </w:r>
      <w:r w:rsidR="009475B5" w:rsidRPr="0057205A">
        <w:rPr>
          <w:color w:val="000000" w:themeColor="text1"/>
          <w:lang w:val="fr-FR"/>
        </w:rPr>
        <w:t xml:space="preserve"> l’incident chez le receveur sur la plateforme électronique du MSP</w:t>
      </w:r>
    </w:p>
    <w:p w14:paraId="4658D288" w14:textId="2AEB40DD" w:rsidR="007B4C02" w:rsidRPr="0057205A" w:rsidRDefault="009A5A13" w:rsidP="0057205A">
      <w:pPr>
        <w:pStyle w:val="ListParagraph"/>
        <w:numPr>
          <w:ilvl w:val="1"/>
          <w:numId w:val="12"/>
        </w:numPr>
        <w:tabs>
          <w:tab w:val="clear" w:pos="1440"/>
          <w:tab w:val="num" w:pos="1476"/>
        </w:tabs>
        <w:spacing w:after="0"/>
        <w:ind w:left="1476" w:hanging="396"/>
        <w:jc w:val="both"/>
        <w:rPr>
          <w:rFonts w:eastAsia="Times New Roman"/>
          <w:color w:val="000000" w:themeColor="text1"/>
          <w:lang w:val="fr-FR"/>
        </w:rPr>
      </w:pPr>
      <w:r w:rsidRPr="0057205A">
        <w:rPr>
          <w:color w:val="000000" w:themeColor="text1"/>
          <w:lang w:val="fr-FR"/>
        </w:rPr>
        <w:t>Déclarer</w:t>
      </w:r>
      <w:r w:rsidR="009475B5" w:rsidRPr="0057205A">
        <w:rPr>
          <w:color w:val="000000" w:themeColor="text1"/>
          <w:lang w:val="fr-FR"/>
        </w:rPr>
        <w:t xml:space="preserve"> l’incident grave chez le Donneur a</w:t>
      </w:r>
      <w:r w:rsidR="00D60721" w:rsidRPr="0057205A">
        <w:rPr>
          <w:color w:val="000000" w:themeColor="text1"/>
          <w:lang w:val="fr-FR"/>
        </w:rPr>
        <w:t xml:space="preserve"> l’établissement de sante</w:t>
      </w:r>
    </w:p>
    <w:p w14:paraId="58918000" w14:textId="6A906313" w:rsidR="000430F1" w:rsidRPr="0057205A" w:rsidRDefault="009A5A13" w:rsidP="0057205A">
      <w:pPr>
        <w:pStyle w:val="ListParagraph"/>
        <w:numPr>
          <w:ilvl w:val="1"/>
          <w:numId w:val="12"/>
        </w:numPr>
        <w:tabs>
          <w:tab w:val="clear" w:pos="1440"/>
          <w:tab w:val="num" w:pos="1476"/>
        </w:tabs>
        <w:spacing w:after="0"/>
        <w:ind w:left="1476" w:hanging="396"/>
        <w:jc w:val="both"/>
        <w:rPr>
          <w:rFonts w:eastAsia="Times New Roman"/>
          <w:color w:val="000000" w:themeColor="text1"/>
          <w:lang w:val="fr-FR"/>
        </w:rPr>
      </w:pPr>
      <w:r w:rsidRPr="0057205A">
        <w:rPr>
          <w:color w:val="000000" w:themeColor="text1"/>
          <w:lang w:val="fr-FR"/>
        </w:rPr>
        <w:t>Mettre</w:t>
      </w:r>
      <w:r w:rsidR="00ED5F28" w:rsidRPr="0057205A">
        <w:rPr>
          <w:color w:val="000000" w:themeColor="text1"/>
          <w:lang w:val="fr-FR"/>
        </w:rPr>
        <w:t xml:space="preserve"> en œuvre les mesures correctives</w:t>
      </w:r>
    </w:p>
    <w:p w14:paraId="60E85C9C" w14:textId="77777777" w:rsidR="000430F1" w:rsidRPr="0057205A" w:rsidRDefault="00ED5F28" w:rsidP="0057205A">
      <w:pPr>
        <w:pStyle w:val="ListParagraph"/>
        <w:numPr>
          <w:ilvl w:val="0"/>
          <w:numId w:val="4"/>
        </w:numPr>
        <w:tabs>
          <w:tab w:val="clear" w:pos="720"/>
          <w:tab w:val="num" w:pos="756"/>
        </w:tabs>
        <w:spacing w:after="0"/>
        <w:ind w:left="756" w:hanging="396"/>
        <w:jc w:val="both"/>
        <w:rPr>
          <w:rFonts w:eastAsia="Times New Roman"/>
          <w:color w:val="000000" w:themeColor="text1"/>
          <w:lang w:val="fr-FR"/>
        </w:rPr>
      </w:pPr>
      <w:r w:rsidRPr="0057205A">
        <w:rPr>
          <w:color w:val="000000" w:themeColor="text1"/>
          <w:lang w:val="fr-FR"/>
        </w:rPr>
        <w:t>Participer aux enquêtes épidémiologiques</w:t>
      </w:r>
      <w:r w:rsidR="00193DAB" w:rsidRPr="0057205A">
        <w:rPr>
          <w:color w:val="000000" w:themeColor="text1"/>
          <w:lang w:val="fr-FR"/>
        </w:rPr>
        <w:t xml:space="preserve"> mises en place par le </w:t>
      </w:r>
      <w:r w:rsidR="00362391" w:rsidRPr="0057205A">
        <w:rPr>
          <w:color w:val="000000" w:themeColor="text1"/>
          <w:lang w:val="fr-FR"/>
        </w:rPr>
        <w:t>CLTS</w:t>
      </w:r>
    </w:p>
    <w:p w14:paraId="4D35B9FE" w14:textId="77777777" w:rsidR="000430F1" w:rsidRPr="0057205A" w:rsidRDefault="00ED5F28" w:rsidP="0057205A">
      <w:pPr>
        <w:pStyle w:val="ListParagraph"/>
        <w:numPr>
          <w:ilvl w:val="0"/>
          <w:numId w:val="4"/>
        </w:numPr>
        <w:tabs>
          <w:tab w:val="clear" w:pos="720"/>
          <w:tab w:val="num" w:pos="756"/>
        </w:tabs>
        <w:spacing w:after="0"/>
        <w:ind w:left="756" w:hanging="396"/>
        <w:jc w:val="both"/>
        <w:rPr>
          <w:rFonts w:eastAsia="Times New Roman"/>
          <w:color w:val="000000" w:themeColor="text1"/>
          <w:lang w:val="fr-FR"/>
        </w:rPr>
      </w:pPr>
      <w:r w:rsidRPr="0057205A">
        <w:rPr>
          <w:color w:val="000000" w:themeColor="text1"/>
          <w:lang w:val="fr-FR"/>
        </w:rPr>
        <w:t>Assurer le secrétariat du CSTH</w:t>
      </w:r>
      <w:r w:rsidR="00193DAB" w:rsidRPr="0057205A">
        <w:rPr>
          <w:color w:val="000000" w:themeColor="text1"/>
          <w:lang w:val="fr-FR"/>
        </w:rPr>
        <w:t xml:space="preserve"> et </w:t>
      </w:r>
      <w:r w:rsidR="00F2265E" w:rsidRPr="0057205A">
        <w:rPr>
          <w:color w:val="000000" w:themeColor="text1"/>
          <w:lang w:val="fr-FR"/>
        </w:rPr>
        <w:t>p</w:t>
      </w:r>
      <w:r w:rsidR="00193DAB" w:rsidRPr="0057205A">
        <w:rPr>
          <w:color w:val="000000" w:themeColor="text1"/>
          <w:lang w:val="fr-FR"/>
        </w:rPr>
        <w:t xml:space="preserve">articiper aux réunions d'HV de son ES </w:t>
      </w:r>
      <w:r w:rsidRPr="0057205A">
        <w:rPr>
          <w:color w:val="000000" w:themeColor="text1"/>
          <w:lang w:val="fr-FR"/>
        </w:rPr>
        <w:t>(rôle de coordinateur)</w:t>
      </w:r>
    </w:p>
    <w:p w14:paraId="212D1FA4" w14:textId="77777777" w:rsidR="000430F1" w:rsidRPr="0057205A" w:rsidRDefault="00ED5F28" w:rsidP="0057205A">
      <w:pPr>
        <w:pStyle w:val="ListParagraph"/>
        <w:numPr>
          <w:ilvl w:val="0"/>
          <w:numId w:val="4"/>
        </w:numPr>
        <w:tabs>
          <w:tab w:val="clear" w:pos="720"/>
          <w:tab w:val="num" w:pos="756"/>
        </w:tabs>
        <w:spacing w:after="0"/>
        <w:ind w:left="756" w:hanging="396"/>
        <w:jc w:val="both"/>
        <w:rPr>
          <w:rFonts w:eastAsia="Times New Roman"/>
          <w:color w:val="000000" w:themeColor="text1"/>
          <w:lang w:val="fr-FR"/>
        </w:rPr>
      </w:pPr>
      <w:r w:rsidRPr="0057205A">
        <w:rPr>
          <w:color w:val="000000" w:themeColor="text1"/>
          <w:lang w:val="fr-FR"/>
        </w:rPr>
        <w:t xml:space="preserve">Signaler au </w:t>
      </w:r>
      <w:r w:rsidR="00362391" w:rsidRPr="0057205A">
        <w:rPr>
          <w:color w:val="000000" w:themeColor="text1"/>
          <w:lang w:val="fr-FR"/>
        </w:rPr>
        <w:t>CLTS</w:t>
      </w:r>
      <w:r w:rsidRPr="0057205A">
        <w:rPr>
          <w:color w:val="000000" w:themeColor="text1"/>
          <w:lang w:val="fr-FR"/>
        </w:rPr>
        <w:t xml:space="preserve"> toute difficulté susceptible de compromettre la ST et participer aux réunions annuelles de ce comité</w:t>
      </w:r>
      <w:r w:rsidR="00362391" w:rsidRPr="0057205A">
        <w:rPr>
          <w:color w:val="000000" w:themeColor="text1"/>
          <w:lang w:val="fr-FR"/>
        </w:rPr>
        <w:t xml:space="preserve"> </w:t>
      </w:r>
    </w:p>
    <w:p w14:paraId="7DCA48E0" w14:textId="727E9E5D" w:rsidR="000430F1" w:rsidRPr="0057205A" w:rsidRDefault="00ED5F28" w:rsidP="0057205A">
      <w:pPr>
        <w:pStyle w:val="ListParagraph"/>
        <w:numPr>
          <w:ilvl w:val="0"/>
          <w:numId w:val="4"/>
        </w:numPr>
        <w:tabs>
          <w:tab w:val="clear" w:pos="720"/>
          <w:tab w:val="num" w:pos="756"/>
        </w:tabs>
        <w:spacing w:after="0"/>
        <w:ind w:left="756" w:hanging="396"/>
        <w:jc w:val="both"/>
        <w:rPr>
          <w:rFonts w:eastAsia="Times New Roman"/>
          <w:color w:val="000000" w:themeColor="text1"/>
          <w:lang w:val="fr-FR"/>
        </w:rPr>
      </w:pPr>
      <w:r w:rsidRPr="0057205A">
        <w:rPr>
          <w:color w:val="000000" w:themeColor="text1"/>
          <w:lang w:val="fr-FR"/>
        </w:rPr>
        <w:t xml:space="preserve">Proposer, le cas échéant, au </w:t>
      </w:r>
      <w:r w:rsidR="00362391" w:rsidRPr="0057205A">
        <w:rPr>
          <w:color w:val="000000" w:themeColor="text1"/>
          <w:lang w:val="fr-FR"/>
        </w:rPr>
        <w:t>CLTS</w:t>
      </w:r>
      <w:r w:rsidRPr="0057205A">
        <w:rPr>
          <w:color w:val="000000" w:themeColor="text1"/>
          <w:lang w:val="fr-FR"/>
        </w:rPr>
        <w:t xml:space="preserve"> toute mesure susceptible d'améliorer la qualité, la fiabilité ou la cohérence du dispositif d'HV</w:t>
      </w:r>
      <w:r w:rsidR="00362391" w:rsidRPr="0057205A">
        <w:rPr>
          <w:color w:val="000000" w:themeColor="text1"/>
          <w:lang w:val="fr-FR"/>
        </w:rPr>
        <w:t xml:space="preserve">  </w:t>
      </w:r>
    </w:p>
    <w:p w14:paraId="7E8E449A" w14:textId="77777777" w:rsidR="0057205A" w:rsidRPr="0057205A" w:rsidRDefault="0057205A" w:rsidP="0057205A">
      <w:pPr>
        <w:pStyle w:val="ListParagraph"/>
        <w:spacing w:after="0"/>
        <w:ind w:left="756"/>
        <w:jc w:val="both"/>
        <w:rPr>
          <w:rFonts w:eastAsia="Times New Roman"/>
          <w:color w:val="000000" w:themeColor="text1"/>
          <w:lang w:val="fr-FR"/>
        </w:rPr>
      </w:pPr>
    </w:p>
    <w:p w14:paraId="545AB096" w14:textId="77777777" w:rsidR="00E076DE" w:rsidRPr="0057205A" w:rsidRDefault="00E076DE" w:rsidP="0057205A">
      <w:pPr>
        <w:pStyle w:val="Body"/>
        <w:jc w:val="both"/>
        <w:rPr>
          <w:rFonts w:eastAsia="Times New Roman Bold"/>
          <w:color w:val="000000" w:themeColor="text1"/>
        </w:rPr>
      </w:pPr>
      <w:r w:rsidRPr="0057205A">
        <w:rPr>
          <w:rFonts w:eastAsia="Times New Roman Bold"/>
          <w:color w:val="000000" w:themeColor="text1"/>
        </w:rPr>
        <w:t xml:space="preserve">Le CHES peut être au besoin le Directeur du CTS de l’ES en question ; mais il est recommandé que ce soit un autre praticien spécialiste ayant une </w:t>
      </w:r>
      <w:r w:rsidR="003D51F9" w:rsidRPr="0057205A">
        <w:rPr>
          <w:rFonts w:eastAsia="Times New Roman Bold"/>
          <w:color w:val="000000" w:themeColor="text1"/>
        </w:rPr>
        <w:t>compét</w:t>
      </w:r>
      <w:r w:rsidRPr="0057205A">
        <w:rPr>
          <w:rFonts w:eastAsia="Times New Roman Bold"/>
          <w:color w:val="000000" w:themeColor="text1"/>
        </w:rPr>
        <w:t>ence dans le domaine de l’HV.</w:t>
      </w:r>
    </w:p>
    <w:p w14:paraId="36354408" w14:textId="0666672B" w:rsidR="00E076DE" w:rsidRPr="0057205A" w:rsidRDefault="00E076DE" w:rsidP="0057205A">
      <w:pPr>
        <w:pStyle w:val="Body"/>
        <w:jc w:val="both"/>
        <w:rPr>
          <w:rFonts w:eastAsia="Times New Roman Bold"/>
          <w:color w:val="000000" w:themeColor="text1"/>
        </w:rPr>
      </w:pPr>
      <w:r w:rsidRPr="0057205A">
        <w:rPr>
          <w:rFonts w:eastAsia="Times New Roman Bold"/>
          <w:color w:val="000000" w:themeColor="text1"/>
        </w:rPr>
        <w:t xml:space="preserve">Il est également recommandé </w:t>
      </w:r>
      <w:r w:rsidRPr="0057205A">
        <w:rPr>
          <w:color w:val="000000" w:themeColor="text1"/>
        </w:rPr>
        <w:t>à</w:t>
      </w:r>
      <w:r w:rsidRPr="0057205A">
        <w:rPr>
          <w:rFonts w:eastAsia="Times New Roman Bold"/>
          <w:color w:val="000000" w:themeColor="text1"/>
        </w:rPr>
        <w:t xml:space="preserve"> tout </w:t>
      </w:r>
      <w:r w:rsidR="00DC7844" w:rsidRPr="0057205A">
        <w:rPr>
          <w:rFonts w:eastAsia="Times New Roman Bold"/>
          <w:color w:val="000000" w:themeColor="text1"/>
        </w:rPr>
        <w:t>CH</w:t>
      </w:r>
      <w:r w:rsidRPr="0057205A">
        <w:rPr>
          <w:rFonts w:eastAsia="Times New Roman Bold"/>
          <w:color w:val="000000" w:themeColor="text1"/>
        </w:rPr>
        <w:t xml:space="preserve">ES de désigner un praticien qualifié </w:t>
      </w:r>
      <w:r w:rsidR="00DC7844" w:rsidRPr="0057205A">
        <w:rPr>
          <w:rFonts w:eastAsia="Times New Roman Bold"/>
          <w:color w:val="000000" w:themeColor="text1"/>
        </w:rPr>
        <w:t xml:space="preserve">qui fait fonction de remplaçant </w:t>
      </w:r>
      <w:r w:rsidR="00855F5E" w:rsidRPr="0057205A">
        <w:rPr>
          <w:rFonts w:eastAsia="Times New Roman Bold"/>
          <w:color w:val="000000" w:themeColor="text1"/>
        </w:rPr>
        <w:t xml:space="preserve">en cas de son </w:t>
      </w:r>
      <w:r w:rsidRPr="0057205A">
        <w:rPr>
          <w:rFonts w:eastAsia="Times New Roman Bold"/>
          <w:color w:val="000000" w:themeColor="text1"/>
        </w:rPr>
        <w:t>absence.</w:t>
      </w:r>
      <w:r w:rsidR="00A71327" w:rsidRPr="0057205A">
        <w:rPr>
          <w:rFonts w:eastAsia="Times New Roman Bold"/>
          <w:color w:val="000000" w:themeColor="text1"/>
        </w:rPr>
        <w:t xml:space="preserve"> Son identité est communiquée à l’ES et </w:t>
      </w:r>
      <w:r w:rsidR="009A5A13" w:rsidRPr="0057205A">
        <w:rPr>
          <w:rFonts w:eastAsia="Times New Roman Bold"/>
          <w:color w:val="000000" w:themeColor="text1"/>
        </w:rPr>
        <w:t>au CLTS</w:t>
      </w:r>
      <w:r w:rsidR="00A71327" w:rsidRPr="0057205A">
        <w:rPr>
          <w:rFonts w:eastAsia="Times New Roman Bold"/>
          <w:color w:val="000000" w:themeColor="text1"/>
        </w:rPr>
        <w:t>.</w:t>
      </w:r>
    </w:p>
    <w:p w14:paraId="347FC312" w14:textId="77777777" w:rsidR="00E076DE" w:rsidRPr="0057205A" w:rsidRDefault="00E076DE" w:rsidP="0057205A">
      <w:pPr>
        <w:pStyle w:val="Body"/>
        <w:jc w:val="both"/>
        <w:rPr>
          <w:rFonts w:eastAsia="Times New Roman Bold"/>
          <w:color w:val="000000" w:themeColor="text1"/>
        </w:rPr>
      </w:pPr>
      <w:r w:rsidRPr="0057205A">
        <w:rPr>
          <w:rFonts w:eastAsia="Times New Roman Bold"/>
          <w:color w:val="000000" w:themeColor="text1"/>
        </w:rPr>
        <w:t xml:space="preserve">La mission du correspondant d’HV d’établissement uniquement préleveur consiste </w:t>
      </w:r>
      <w:r w:rsidRPr="0057205A">
        <w:rPr>
          <w:color w:val="000000" w:themeColor="text1"/>
        </w:rPr>
        <w:t>à</w:t>
      </w:r>
      <w:r w:rsidRPr="0057205A">
        <w:rPr>
          <w:rFonts w:eastAsia="Times New Roman Bold"/>
          <w:color w:val="000000" w:themeColor="text1"/>
        </w:rPr>
        <w:t xml:space="preserve"> appliquer les items 4,5,6,7,9 et 10.</w:t>
      </w:r>
      <w:r w:rsidR="00C4244A" w:rsidRPr="0057205A">
        <w:rPr>
          <w:rFonts w:eastAsia="Times New Roman Bold"/>
          <w:color w:val="000000" w:themeColor="text1"/>
        </w:rPr>
        <w:t xml:space="preserve"> </w:t>
      </w:r>
    </w:p>
    <w:p w14:paraId="62EBED9D" w14:textId="21908AC7" w:rsidR="000430F1" w:rsidRPr="0057205A" w:rsidRDefault="000430F1" w:rsidP="0057205A">
      <w:pPr>
        <w:pStyle w:val="Body"/>
        <w:jc w:val="both"/>
        <w:rPr>
          <w:color w:val="000000" w:themeColor="text1"/>
          <w:sz w:val="20"/>
          <w:szCs w:val="20"/>
        </w:rPr>
      </w:pPr>
    </w:p>
    <w:p w14:paraId="10079813" w14:textId="50979B72" w:rsidR="000430F1" w:rsidRPr="0057205A" w:rsidRDefault="00ED5F28" w:rsidP="0057205A">
      <w:pPr>
        <w:pStyle w:val="Heading1"/>
        <w:spacing w:line="276" w:lineRule="auto"/>
        <w:rPr>
          <w:rFonts w:ascii="Calibri" w:hAnsi="Calibri" w:cs="Calibri"/>
          <w:b/>
          <w:bCs/>
          <w:color w:val="C00000"/>
          <w:sz w:val="28"/>
          <w:szCs w:val="28"/>
          <w:shd w:val="clear" w:color="auto" w:fill="C0C0C0"/>
        </w:rPr>
      </w:pPr>
      <w:bookmarkStart w:id="19" w:name="_Toc122019059"/>
      <w:proofErr w:type="spellStart"/>
      <w:r w:rsidRPr="0057205A">
        <w:rPr>
          <w:rFonts w:ascii="Calibri" w:hAnsi="Calibri" w:cs="Calibri"/>
          <w:b/>
          <w:bCs/>
          <w:color w:val="C00000"/>
          <w:sz w:val="28"/>
          <w:szCs w:val="28"/>
          <w:shd w:val="clear" w:color="auto" w:fill="C0C0C0"/>
        </w:rPr>
        <w:t>Annexe</w:t>
      </w:r>
      <w:proofErr w:type="spellEnd"/>
      <w:r w:rsidRPr="0057205A">
        <w:rPr>
          <w:rFonts w:ascii="Calibri" w:hAnsi="Calibri" w:cs="Calibri"/>
          <w:b/>
          <w:bCs/>
          <w:color w:val="C00000"/>
          <w:sz w:val="28"/>
          <w:szCs w:val="28"/>
          <w:shd w:val="clear" w:color="auto" w:fill="C0C0C0"/>
        </w:rPr>
        <w:t xml:space="preserve"> </w:t>
      </w:r>
      <w:r w:rsidR="0057205A" w:rsidRPr="0057205A">
        <w:rPr>
          <w:rFonts w:ascii="Calibri" w:hAnsi="Calibri" w:cs="Calibri"/>
          <w:b/>
          <w:bCs/>
          <w:color w:val="C00000"/>
          <w:sz w:val="28"/>
          <w:szCs w:val="28"/>
          <w:shd w:val="clear" w:color="auto" w:fill="C0C0C0"/>
        </w:rPr>
        <w:t>III:</w:t>
      </w:r>
      <w:r w:rsidRPr="0057205A">
        <w:rPr>
          <w:rFonts w:ascii="Calibri" w:hAnsi="Calibri" w:cs="Calibri"/>
          <w:b/>
          <w:bCs/>
          <w:color w:val="C00000"/>
          <w:sz w:val="28"/>
          <w:szCs w:val="28"/>
          <w:shd w:val="clear" w:color="auto" w:fill="C0C0C0"/>
        </w:rPr>
        <w:t xml:space="preserve"> COMITE DE SECURITE TRANSFUSIONNELLE ET D’HEMOVIGILANCE (CSTH)</w:t>
      </w:r>
      <w:bookmarkEnd w:id="19"/>
    </w:p>
    <w:p w14:paraId="0E61C3EF" w14:textId="77777777" w:rsidR="00872326" w:rsidRPr="0057205A" w:rsidRDefault="00872326" w:rsidP="0057205A">
      <w:pPr>
        <w:pStyle w:val="Body"/>
        <w:rPr>
          <w:color w:val="000000" w:themeColor="text1"/>
        </w:rPr>
      </w:pPr>
    </w:p>
    <w:p w14:paraId="224BDEB1" w14:textId="3400EA91" w:rsidR="00872326" w:rsidRPr="0057205A" w:rsidRDefault="00872326" w:rsidP="0057205A">
      <w:pPr>
        <w:pStyle w:val="Body"/>
        <w:spacing w:after="0"/>
        <w:jc w:val="both"/>
        <w:rPr>
          <w:color w:val="000000" w:themeColor="text1"/>
        </w:rPr>
      </w:pPr>
      <w:r w:rsidRPr="0057205A">
        <w:rPr>
          <w:color w:val="000000" w:themeColor="text1"/>
        </w:rPr>
        <w:t>L</w:t>
      </w:r>
      <w:r w:rsidR="00ED5F28" w:rsidRPr="0057205A">
        <w:rPr>
          <w:color w:val="000000" w:themeColor="text1"/>
        </w:rPr>
        <w:t xml:space="preserve">e CSTH </w:t>
      </w:r>
      <w:r w:rsidRPr="0057205A">
        <w:rPr>
          <w:color w:val="000000" w:themeColor="text1"/>
        </w:rPr>
        <w:t xml:space="preserve">et son coordinateur </w:t>
      </w:r>
      <w:r w:rsidR="00ED5F28" w:rsidRPr="0057205A">
        <w:rPr>
          <w:color w:val="000000" w:themeColor="text1"/>
        </w:rPr>
        <w:t>sont nommés par la Direction de l’établissement pour une durée déterminée</w:t>
      </w:r>
      <w:r w:rsidR="00E0772E" w:rsidRPr="0057205A">
        <w:rPr>
          <w:color w:val="000000" w:themeColor="text1"/>
        </w:rPr>
        <w:t xml:space="preserve"> </w:t>
      </w:r>
      <w:r w:rsidR="00ED5F28" w:rsidRPr="0057205A">
        <w:rPr>
          <w:color w:val="000000" w:themeColor="text1"/>
        </w:rPr>
        <w:t>; le CSTH est composé des membres suivants :</w:t>
      </w:r>
    </w:p>
    <w:p w14:paraId="53AAF847" w14:textId="7A14D20E" w:rsidR="000430F1" w:rsidRPr="0057205A" w:rsidRDefault="00ED5F28" w:rsidP="0057205A">
      <w:pPr>
        <w:pStyle w:val="Body"/>
        <w:numPr>
          <w:ilvl w:val="0"/>
          <w:numId w:val="35"/>
        </w:numPr>
        <w:spacing w:after="0"/>
        <w:jc w:val="both"/>
        <w:rPr>
          <w:rFonts w:eastAsia="Times New Roman"/>
          <w:color w:val="000000" w:themeColor="text1"/>
        </w:rPr>
      </w:pPr>
      <w:r w:rsidRPr="0057205A">
        <w:rPr>
          <w:color w:val="000000" w:themeColor="text1"/>
        </w:rPr>
        <w:t>Directeur de l’établissement ou son représentant</w:t>
      </w:r>
    </w:p>
    <w:p w14:paraId="61039CAC" w14:textId="0BCB57D4" w:rsidR="000430F1" w:rsidRPr="0057205A" w:rsidRDefault="00ED5F28" w:rsidP="0057205A">
      <w:pPr>
        <w:pStyle w:val="Body"/>
        <w:numPr>
          <w:ilvl w:val="0"/>
          <w:numId w:val="35"/>
        </w:numPr>
        <w:spacing w:after="0"/>
        <w:jc w:val="both"/>
        <w:rPr>
          <w:rFonts w:eastAsia="Times New Roman"/>
          <w:color w:val="000000" w:themeColor="text1"/>
        </w:rPr>
      </w:pPr>
      <w:r w:rsidRPr="0057205A">
        <w:rPr>
          <w:color w:val="000000" w:themeColor="text1"/>
        </w:rPr>
        <w:t>Président du comité médical ou son représentant</w:t>
      </w:r>
    </w:p>
    <w:p w14:paraId="629E6D5D" w14:textId="12F5137F" w:rsidR="000430F1" w:rsidRPr="0057205A" w:rsidRDefault="00872326" w:rsidP="0057205A">
      <w:pPr>
        <w:pStyle w:val="Body"/>
        <w:numPr>
          <w:ilvl w:val="0"/>
          <w:numId w:val="35"/>
        </w:numPr>
        <w:spacing w:after="0"/>
        <w:jc w:val="both"/>
        <w:rPr>
          <w:rFonts w:eastAsia="Times New Roman"/>
          <w:color w:val="000000" w:themeColor="text1"/>
        </w:rPr>
      </w:pPr>
      <w:r w:rsidRPr="0057205A">
        <w:rPr>
          <w:color w:val="000000" w:themeColor="text1"/>
        </w:rPr>
        <w:t>Directeur CTS/CHES</w:t>
      </w:r>
    </w:p>
    <w:p w14:paraId="72D684CA" w14:textId="5EF99A72" w:rsidR="000430F1" w:rsidRPr="0057205A" w:rsidRDefault="00ED5F28" w:rsidP="0057205A">
      <w:pPr>
        <w:pStyle w:val="Body"/>
        <w:numPr>
          <w:ilvl w:val="0"/>
          <w:numId w:val="35"/>
        </w:numPr>
        <w:spacing w:after="0"/>
        <w:jc w:val="both"/>
        <w:rPr>
          <w:rFonts w:eastAsia="Times New Roman"/>
          <w:color w:val="000000" w:themeColor="text1"/>
        </w:rPr>
      </w:pPr>
      <w:r w:rsidRPr="0057205A">
        <w:rPr>
          <w:color w:val="000000" w:themeColor="text1"/>
        </w:rPr>
        <w:t>Des médecins qui représentent notamment les disciplines ou activités suivantes : chirurgie, pédiatrie, anesthésie-réanimation, infectio</w:t>
      </w:r>
      <w:r w:rsidR="00E0772E" w:rsidRPr="0057205A">
        <w:rPr>
          <w:color w:val="000000" w:themeColor="text1"/>
        </w:rPr>
        <w:t>logie, gynécologie-obstétrique</w:t>
      </w:r>
    </w:p>
    <w:p w14:paraId="2AB12AD3" w14:textId="28A6E0CE" w:rsidR="000430F1" w:rsidRPr="0057205A" w:rsidRDefault="00ED5F28" w:rsidP="0057205A">
      <w:pPr>
        <w:pStyle w:val="Body"/>
        <w:numPr>
          <w:ilvl w:val="0"/>
          <w:numId w:val="35"/>
        </w:numPr>
        <w:spacing w:after="0"/>
        <w:jc w:val="both"/>
        <w:rPr>
          <w:rFonts w:eastAsia="Times New Roman"/>
          <w:color w:val="000000" w:themeColor="text1"/>
        </w:rPr>
      </w:pPr>
      <w:r w:rsidRPr="0057205A">
        <w:rPr>
          <w:color w:val="000000" w:themeColor="text1"/>
        </w:rPr>
        <w:t>Représentants des personnels soignants et médico-techniques (représentant du personnel CTS, du personnel infirmier, du service Qualité…)</w:t>
      </w:r>
    </w:p>
    <w:p w14:paraId="69C4BACA" w14:textId="223388A8" w:rsidR="000430F1" w:rsidRPr="0057205A" w:rsidRDefault="00ED5F28" w:rsidP="0057205A">
      <w:pPr>
        <w:pStyle w:val="Body"/>
        <w:numPr>
          <w:ilvl w:val="0"/>
          <w:numId w:val="35"/>
        </w:numPr>
        <w:spacing w:after="0"/>
        <w:jc w:val="both"/>
        <w:rPr>
          <w:rFonts w:eastAsia="Times New Roman"/>
          <w:color w:val="000000" w:themeColor="text1"/>
        </w:rPr>
      </w:pPr>
      <w:r w:rsidRPr="0057205A">
        <w:rPr>
          <w:color w:val="000000" w:themeColor="text1"/>
        </w:rPr>
        <w:t>D’autres membres peuvent être désignés par la direction de l’établissement</w:t>
      </w:r>
      <w:r w:rsidR="00F2265E" w:rsidRPr="0057205A">
        <w:rPr>
          <w:color w:val="000000" w:themeColor="text1"/>
        </w:rPr>
        <w:t xml:space="preserve"> </w:t>
      </w:r>
    </w:p>
    <w:p w14:paraId="2E0E4F8D" w14:textId="77777777" w:rsidR="0057205A" w:rsidRPr="0057205A" w:rsidRDefault="0057205A" w:rsidP="0057205A">
      <w:pPr>
        <w:pStyle w:val="Body"/>
        <w:spacing w:after="0"/>
        <w:ind w:left="720"/>
        <w:jc w:val="both"/>
        <w:rPr>
          <w:rFonts w:eastAsia="Times New Roman"/>
          <w:color w:val="000000" w:themeColor="text1"/>
        </w:rPr>
      </w:pPr>
    </w:p>
    <w:p w14:paraId="3B3EC4EE" w14:textId="54D7C744" w:rsidR="000430F1" w:rsidRPr="0057205A" w:rsidRDefault="00ED5F28" w:rsidP="0057205A">
      <w:pPr>
        <w:pStyle w:val="Body"/>
        <w:spacing w:before="100" w:after="100"/>
        <w:jc w:val="both"/>
        <w:rPr>
          <w:rFonts w:eastAsia="Times New Roman Bold"/>
          <w:color w:val="000000" w:themeColor="text1"/>
        </w:rPr>
      </w:pPr>
      <w:r w:rsidRPr="0057205A">
        <w:rPr>
          <w:b/>
          <w:bCs/>
          <w:color w:val="000000" w:themeColor="text1"/>
        </w:rPr>
        <w:t>La mission du CSTH</w:t>
      </w:r>
      <w:r w:rsidRPr="0057205A">
        <w:rPr>
          <w:color w:val="000000" w:themeColor="text1"/>
        </w:rPr>
        <w:t xml:space="preserve"> est de superviser la politique </w:t>
      </w:r>
      <w:r w:rsidR="009A5A13" w:rsidRPr="0057205A">
        <w:rPr>
          <w:color w:val="000000" w:themeColor="text1"/>
        </w:rPr>
        <w:t>de ST</w:t>
      </w:r>
      <w:r w:rsidRPr="0057205A">
        <w:rPr>
          <w:color w:val="000000" w:themeColor="text1"/>
        </w:rPr>
        <w:t xml:space="preserve"> et d’HV, il s’agit donc de mener les actions suivantes :</w:t>
      </w:r>
    </w:p>
    <w:p w14:paraId="7215A75D" w14:textId="4FA529CB" w:rsidR="000430F1" w:rsidRPr="0057205A" w:rsidRDefault="0077193F" w:rsidP="0057205A">
      <w:pPr>
        <w:pStyle w:val="Body"/>
        <w:numPr>
          <w:ilvl w:val="0"/>
          <w:numId w:val="15"/>
        </w:numPr>
        <w:tabs>
          <w:tab w:val="clear" w:pos="714"/>
          <w:tab w:val="num" w:pos="750"/>
        </w:tabs>
        <w:spacing w:after="0"/>
        <w:ind w:left="750" w:right="720" w:hanging="393"/>
        <w:jc w:val="both"/>
        <w:rPr>
          <w:rFonts w:eastAsia="Times New Roman"/>
          <w:color w:val="000000" w:themeColor="text1"/>
        </w:rPr>
      </w:pPr>
      <w:r w:rsidRPr="0057205A">
        <w:rPr>
          <w:color w:val="000000" w:themeColor="text1"/>
        </w:rPr>
        <w:t xml:space="preserve">S’assurer du bon </w:t>
      </w:r>
      <w:r w:rsidR="009A5A13" w:rsidRPr="0057205A">
        <w:rPr>
          <w:color w:val="000000" w:themeColor="text1"/>
        </w:rPr>
        <w:t>usage du</w:t>
      </w:r>
      <w:r w:rsidR="00ED5F28" w:rsidRPr="0057205A">
        <w:rPr>
          <w:color w:val="000000" w:themeColor="text1"/>
        </w:rPr>
        <w:t xml:space="preserve"> sang total et de ses constituants pour leur </w:t>
      </w:r>
      <w:r w:rsidR="005105BC" w:rsidRPr="0057205A">
        <w:rPr>
          <w:color w:val="000000" w:themeColor="text1"/>
        </w:rPr>
        <w:t>indication correcte</w:t>
      </w:r>
    </w:p>
    <w:p w14:paraId="43C290DF" w14:textId="77777777" w:rsidR="000430F1" w:rsidRPr="0057205A" w:rsidRDefault="00ED5F28" w:rsidP="0057205A">
      <w:pPr>
        <w:pStyle w:val="Body"/>
        <w:numPr>
          <w:ilvl w:val="0"/>
          <w:numId w:val="15"/>
        </w:numPr>
        <w:tabs>
          <w:tab w:val="clear" w:pos="714"/>
          <w:tab w:val="num" w:pos="750"/>
        </w:tabs>
        <w:spacing w:after="0"/>
        <w:ind w:left="750" w:right="720" w:hanging="393"/>
        <w:jc w:val="both"/>
        <w:rPr>
          <w:rFonts w:eastAsia="Times New Roman"/>
          <w:color w:val="000000" w:themeColor="text1"/>
        </w:rPr>
      </w:pPr>
      <w:r w:rsidRPr="0057205A">
        <w:rPr>
          <w:color w:val="000000" w:themeColor="text1"/>
        </w:rPr>
        <w:t xml:space="preserve">Identifier les problèmes dans les thérapies transfusionnelles, proposer des protocoles et </w:t>
      </w:r>
      <w:r w:rsidR="0077193F" w:rsidRPr="0057205A">
        <w:rPr>
          <w:color w:val="000000" w:themeColor="text1"/>
        </w:rPr>
        <w:t xml:space="preserve">leurs </w:t>
      </w:r>
      <w:r w:rsidRPr="0057205A">
        <w:rPr>
          <w:color w:val="000000" w:themeColor="text1"/>
        </w:rPr>
        <w:t>améliorations et recommander des actions correctives quand c’est indiqué</w:t>
      </w:r>
    </w:p>
    <w:p w14:paraId="1A3C9F0B" w14:textId="77777777" w:rsidR="000430F1" w:rsidRPr="0057205A" w:rsidRDefault="00ED5F28" w:rsidP="0057205A">
      <w:pPr>
        <w:pStyle w:val="Body"/>
        <w:numPr>
          <w:ilvl w:val="0"/>
          <w:numId w:val="15"/>
        </w:numPr>
        <w:tabs>
          <w:tab w:val="clear" w:pos="714"/>
          <w:tab w:val="num" w:pos="750"/>
        </w:tabs>
        <w:spacing w:after="0"/>
        <w:ind w:left="750" w:right="720" w:hanging="393"/>
        <w:jc w:val="both"/>
        <w:rPr>
          <w:rFonts w:eastAsia="Times New Roman"/>
          <w:color w:val="000000" w:themeColor="text1"/>
        </w:rPr>
      </w:pPr>
      <w:r w:rsidRPr="0057205A">
        <w:rPr>
          <w:color w:val="000000" w:themeColor="text1"/>
        </w:rPr>
        <w:t>Revoir tous les évènements indésirables résultant des activités transfusionnelles et faire des recommandations lorsque c’est indiqué</w:t>
      </w:r>
    </w:p>
    <w:p w14:paraId="22AE2F48" w14:textId="77777777" w:rsidR="000430F1" w:rsidRPr="0057205A" w:rsidRDefault="00ED5F28" w:rsidP="0057205A">
      <w:pPr>
        <w:pStyle w:val="Body"/>
        <w:numPr>
          <w:ilvl w:val="0"/>
          <w:numId w:val="15"/>
        </w:numPr>
        <w:tabs>
          <w:tab w:val="clear" w:pos="714"/>
          <w:tab w:val="num" w:pos="750"/>
        </w:tabs>
        <w:spacing w:after="0"/>
        <w:ind w:left="750" w:right="720" w:hanging="393"/>
        <w:jc w:val="both"/>
        <w:rPr>
          <w:rFonts w:eastAsia="Times New Roman"/>
          <w:color w:val="000000" w:themeColor="text1"/>
        </w:rPr>
      </w:pPr>
      <w:r w:rsidRPr="0057205A">
        <w:rPr>
          <w:color w:val="000000" w:themeColor="text1"/>
        </w:rPr>
        <w:t xml:space="preserve">Revoir les </w:t>
      </w:r>
      <w:r w:rsidR="00391FAD" w:rsidRPr="0057205A">
        <w:rPr>
          <w:color w:val="000000" w:themeColor="text1"/>
        </w:rPr>
        <w:t>données statistiques</w:t>
      </w:r>
      <w:r w:rsidR="00A71327" w:rsidRPr="0057205A">
        <w:rPr>
          <w:color w:val="000000" w:themeColor="text1"/>
        </w:rPr>
        <w:t xml:space="preserve"> </w:t>
      </w:r>
      <w:r w:rsidRPr="0057205A">
        <w:rPr>
          <w:color w:val="000000" w:themeColor="text1"/>
        </w:rPr>
        <w:t xml:space="preserve">du </w:t>
      </w:r>
      <w:r w:rsidR="0077193F" w:rsidRPr="0057205A">
        <w:rPr>
          <w:color w:val="000000" w:themeColor="text1"/>
        </w:rPr>
        <w:t>CTS (</w:t>
      </w:r>
      <w:r w:rsidR="00A71327" w:rsidRPr="0057205A">
        <w:rPr>
          <w:color w:val="000000" w:themeColor="text1"/>
        </w:rPr>
        <w:t>receveurs, donneurs, produits préparés, état du stock…)</w:t>
      </w:r>
      <w:r w:rsidRPr="0057205A">
        <w:rPr>
          <w:color w:val="000000" w:themeColor="text1"/>
        </w:rPr>
        <w:t xml:space="preserve"> </w:t>
      </w:r>
      <w:r w:rsidR="00E8372C" w:rsidRPr="0057205A">
        <w:rPr>
          <w:color w:val="000000" w:themeColor="text1"/>
        </w:rPr>
        <w:t xml:space="preserve">locales ou relevées sur la plateforme électronique du MSP </w:t>
      </w:r>
      <w:r w:rsidRPr="0057205A">
        <w:rPr>
          <w:color w:val="000000" w:themeColor="text1"/>
        </w:rPr>
        <w:t>et faire des recommandations</w:t>
      </w:r>
    </w:p>
    <w:p w14:paraId="0F589F2C" w14:textId="736AC0EA" w:rsidR="000430F1" w:rsidRPr="0057205A" w:rsidRDefault="009A5A13" w:rsidP="0057205A">
      <w:pPr>
        <w:pStyle w:val="Body"/>
        <w:numPr>
          <w:ilvl w:val="0"/>
          <w:numId w:val="15"/>
        </w:numPr>
        <w:tabs>
          <w:tab w:val="clear" w:pos="714"/>
          <w:tab w:val="num" w:pos="750"/>
        </w:tabs>
        <w:spacing w:after="0"/>
        <w:ind w:left="750" w:right="720" w:hanging="393"/>
        <w:jc w:val="both"/>
        <w:rPr>
          <w:rFonts w:eastAsia="Times New Roman"/>
          <w:color w:val="000000" w:themeColor="text1"/>
        </w:rPr>
      </w:pPr>
      <w:r w:rsidRPr="0057205A">
        <w:rPr>
          <w:color w:val="000000" w:themeColor="text1"/>
        </w:rPr>
        <w:t>S’assurer que</w:t>
      </w:r>
      <w:r w:rsidR="00ED5F28" w:rsidRPr="0057205A">
        <w:rPr>
          <w:color w:val="000000" w:themeColor="text1"/>
        </w:rPr>
        <w:t xml:space="preserve"> les p</w:t>
      </w:r>
      <w:r w:rsidR="00E0772E" w:rsidRPr="0057205A">
        <w:rPr>
          <w:color w:val="000000" w:themeColor="text1"/>
        </w:rPr>
        <w:t>olitiques et les procédures du service dist</w:t>
      </w:r>
      <w:r w:rsidR="00A71327" w:rsidRPr="0057205A">
        <w:rPr>
          <w:color w:val="000000" w:themeColor="text1"/>
        </w:rPr>
        <w:t>ributeur des PSL, services des s</w:t>
      </w:r>
      <w:r w:rsidR="00E0772E" w:rsidRPr="0057205A">
        <w:rPr>
          <w:color w:val="000000" w:themeColor="text1"/>
        </w:rPr>
        <w:t>oins et le p</w:t>
      </w:r>
      <w:r w:rsidR="00ED5F28" w:rsidRPr="0057205A">
        <w:rPr>
          <w:color w:val="000000" w:themeColor="text1"/>
        </w:rPr>
        <w:t>er</w:t>
      </w:r>
      <w:r w:rsidR="00E0772E" w:rsidRPr="0057205A">
        <w:rPr>
          <w:color w:val="000000" w:themeColor="text1"/>
        </w:rPr>
        <w:t>sonnel m</w:t>
      </w:r>
      <w:r w:rsidR="00ED5F28" w:rsidRPr="0057205A">
        <w:rPr>
          <w:color w:val="000000" w:themeColor="text1"/>
        </w:rPr>
        <w:t>édical sont en accord avec les réglementations en cours si elles existent ou le cas échéant les référentiels internationaux choisis ; revoir tous les protocoles périodiquement et les réviser au besoin</w:t>
      </w:r>
    </w:p>
    <w:p w14:paraId="55DF0F6F" w14:textId="77777777" w:rsidR="000430F1" w:rsidRPr="0057205A" w:rsidRDefault="00ED5F28" w:rsidP="0057205A">
      <w:pPr>
        <w:pStyle w:val="Body"/>
        <w:numPr>
          <w:ilvl w:val="0"/>
          <w:numId w:val="15"/>
        </w:numPr>
        <w:tabs>
          <w:tab w:val="clear" w:pos="714"/>
          <w:tab w:val="num" w:pos="750"/>
        </w:tabs>
        <w:spacing w:after="0"/>
        <w:ind w:left="750" w:right="720" w:hanging="393"/>
        <w:jc w:val="both"/>
        <w:rPr>
          <w:rFonts w:eastAsia="Times New Roman"/>
          <w:color w:val="000000" w:themeColor="text1"/>
        </w:rPr>
      </w:pPr>
      <w:r w:rsidRPr="0057205A">
        <w:rPr>
          <w:color w:val="000000" w:themeColor="text1"/>
        </w:rPr>
        <w:t>Revoir les relations entre le service de distribution des PSL, les départements de soins et les Donneurs</w:t>
      </w:r>
    </w:p>
    <w:p w14:paraId="695FF4DB" w14:textId="4A20D321" w:rsidR="000430F1" w:rsidRPr="0057205A" w:rsidRDefault="00ED5F28" w:rsidP="0057205A">
      <w:pPr>
        <w:pStyle w:val="Body"/>
        <w:numPr>
          <w:ilvl w:val="0"/>
          <w:numId w:val="15"/>
        </w:numPr>
        <w:tabs>
          <w:tab w:val="clear" w:pos="714"/>
          <w:tab w:val="num" w:pos="750"/>
        </w:tabs>
        <w:spacing w:after="0"/>
        <w:ind w:left="750" w:right="720" w:hanging="393"/>
        <w:jc w:val="both"/>
        <w:rPr>
          <w:rFonts w:eastAsia="Times New Roman"/>
          <w:color w:val="000000" w:themeColor="text1"/>
        </w:rPr>
      </w:pPr>
      <w:r w:rsidRPr="0057205A">
        <w:rPr>
          <w:color w:val="000000" w:themeColor="text1"/>
        </w:rPr>
        <w:t xml:space="preserve">Superviser </w:t>
      </w:r>
      <w:r w:rsidR="009A5A13" w:rsidRPr="0057205A">
        <w:rPr>
          <w:color w:val="000000" w:themeColor="text1"/>
        </w:rPr>
        <w:t>le schéma</w:t>
      </w:r>
      <w:r w:rsidRPr="0057205A">
        <w:rPr>
          <w:color w:val="000000" w:themeColor="text1"/>
        </w:rPr>
        <w:t xml:space="preserve"> de ST et la qualité des produits sanguins</w:t>
      </w:r>
    </w:p>
    <w:p w14:paraId="2141661A" w14:textId="77777777" w:rsidR="000430F1" w:rsidRPr="0057205A" w:rsidRDefault="00ED5F28" w:rsidP="0057205A">
      <w:pPr>
        <w:pStyle w:val="Body"/>
        <w:numPr>
          <w:ilvl w:val="0"/>
          <w:numId w:val="15"/>
        </w:numPr>
        <w:tabs>
          <w:tab w:val="clear" w:pos="714"/>
          <w:tab w:val="num" w:pos="750"/>
        </w:tabs>
        <w:spacing w:after="0"/>
        <w:ind w:left="750" w:right="720" w:hanging="393"/>
        <w:jc w:val="both"/>
        <w:rPr>
          <w:rFonts w:eastAsia="Times New Roman"/>
          <w:color w:val="000000" w:themeColor="text1"/>
        </w:rPr>
      </w:pPr>
      <w:r w:rsidRPr="0057205A">
        <w:rPr>
          <w:color w:val="000000" w:themeColor="text1"/>
        </w:rPr>
        <w:t>Aider l’hôpital dans les efforts</w:t>
      </w:r>
      <w:r w:rsidR="00A71327" w:rsidRPr="0057205A">
        <w:rPr>
          <w:color w:val="000000" w:themeColor="text1"/>
        </w:rPr>
        <w:t xml:space="preserve"> </w:t>
      </w:r>
      <w:r w:rsidRPr="0057205A">
        <w:rPr>
          <w:color w:val="000000" w:themeColor="text1"/>
        </w:rPr>
        <w:t>d’approvisionnement des produits sanguins</w:t>
      </w:r>
      <w:r w:rsidR="00A71327" w:rsidRPr="0057205A">
        <w:rPr>
          <w:color w:val="000000" w:themeColor="text1"/>
        </w:rPr>
        <w:t xml:space="preserve"> (</w:t>
      </w:r>
      <w:r w:rsidR="006176E8" w:rsidRPr="0057205A">
        <w:rPr>
          <w:color w:val="000000" w:themeColor="text1"/>
        </w:rPr>
        <w:t>r</w:t>
      </w:r>
      <w:r w:rsidR="00A71327" w:rsidRPr="0057205A">
        <w:rPr>
          <w:color w:val="000000" w:themeColor="text1"/>
        </w:rPr>
        <w:t>ecrutement de donneurs</w:t>
      </w:r>
      <w:r w:rsidRPr="0057205A">
        <w:rPr>
          <w:color w:val="000000" w:themeColor="text1"/>
        </w:rPr>
        <w:t>,</w:t>
      </w:r>
      <w:r w:rsidR="00A71327" w:rsidRPr="0057205A">
        <w:rPr>
          <w:color w:val="000000" w:themeColor="text1"/>
        </w:rPr>
        <w:t xml:space="preserve"> collectes mobiles</w:t>
      </w:r>
      <w:r w:rsidR="006176E8" w:rsidRPr="0057205A">
        <w:rPr>
          <w:color w:val="000000" w:themeColor="text1"/>
        </w:rPr>
        <w:t>, choix des CTSD</w:t>
      </w:r>
      <w:r w:rsidR="00A71327" w:rsidRPr="0057205A">
        <w:rPr>
          <w:color w:val="000000" w:themeColor="text1"/>
        </w:rPr>
        <w:t>…)</w:t>
      </w:r>
      <w:r w:rsidR="006176E8" w:rsidRPr="0057205A">
        <w:rPr>
          <w:color w:val="000000" w:themeColor="text1"/>
        </w:rPr>
        <w:t xml:space="preserve"> et</w:t>
      </w:r>
      <w:r w:rsidRPr="0057205A">
        <w:rPr>
          <w:color w:val="000000" w:themeColor="text1"/>
        </w:rPr>
        <w:t xml:space="preserve"> participer à la politique de promotion du Don</w:t>
      </w:r>
    </w:p>
    <w:p w14:paraId="64F6C68A" w14:textId="77777777" w:rsidR="000430F1" w:rsidRPr="0057205A" w:rsidRDefault="00ED5F28" w:rsidP="0057205A">
      <w:pPr>
        <w:pStyle w:val="Body"/>
        <w:numPr>
          <w:ilvl w:val="0"/>
          <w:numId w:val="15"/>
        </w:numPr>
        <w:tabs>
          <w:tab w:val="clear" w:pos="714"/>
          <w:tab w:val="num" w:pos="750"/>
        </w:tabs>
        <w:spacing w:after="0"/>
        <w:ind w:left="750" w:right="720" w:hanging="393"/>
        <w:jc w:val="both"/>
        <w:rPr>
          <w:rFonts w:eastAsia="Times New Roman"/>
          <w:color w:val="000000" w:themeColor="text1"/>
        </w:rPr>
      </w:pPr>
      <w:r w:rsidRPr="0057205A">
        <w:rPr>
          <w:color w:val="000000" w:themeColor="text1"/>
        </w:rPr>
        <w:t>Valider les accords et les protocoles de collaboration entre l’ES et le ou les CTSD</w:t>
      </w:r>
    </w:p>
    <w:p w14:paraId="6A2B86D4" w14:textId="77777777" w:rsidR="000430F1" w:rsidRPr="0057205A" w:rsidRDefault="00ED5F28" w:rsidP="0057205A">
      <w:pPr>
        <w:pStyle w:val="Body"/>
        <w:numPr>
          <w:ilvl w:val="0"/>
          <w:numId w:val="15"/>
        </w:numPr>
        <w:tabs>
          <w:tab w:val="clear" w:pos="714"/>
          <w:tab w:val="num" w:pos="750"/>
        </w:tabs>
        <w:spacing w:after="0"/>
        <w:ind w:left="750" w:right="720" w:hanging="393"/>
        <w:jc w:val="both"/>
        <w:rPr>
          <w:rFonts w:eastAsia="Times New Roman"/>
          <w:color w:val="000000" w:themeColor="text1"/>
        </w:rPr>
      </w:pPr>
      <w:r w:rsidRPr="0057205A">
        <w:rPr>
          <w:color w:val="000000" w:themeColor="text1"/>
        </w:rPr>
        <w:t>Diffuser l’information concernant les nouveaux développements dans les domaines de la transfusion sanguine</w:t>
      </w:r>
    </w:p>
    <w:p w14:paraId="22E06608" w14:textId="77777777" w:rsidR="00572E06" w:rsidRPr="0057205A" w:rsidRDefault="00572E06" w:rsidP="0057205A">
      <w:pPr>
        <w:pStyle w:val="Body"/>
        <w:numPr>
          <w:ilvl w:val="0"/>
          <w:numId w:val="15"/>
        </w:numPr>
        <w:tabs>
          <w:tab w:val="clear" w:pos="714"/>
          <w:tab w:val="num" w:pos="750"/>
        </w:tabs>
        <w:spacing w:after="0"/>
        <w:ind w:left="750" w:right="720" w:hanging="393"/>
        <w:jc w:val="both"/>
        <w:rPr>
          <w:rFonts w:eastAsia="Times New Roman"/>
          <w:color w:val="000000" w:themeColor="text1"/>
        </w:rPr>
      </w:pPr>
      <w:r w:rsidRPr="0057205A">
        <w:rPr>
          <w:color w:val="000000" w:themeColor="text1"/>
        </w:rPr>
        <w:t>Mettre en place une politique de formation en matière de transfusion</w:t>
      </w:r>
    </w:p>
    <w:p w14:paraId="15B713C8" w14:textId="760EA8BD" w:rsidR="000430F1" w:rsidRDefault="000430F1" w:rsidP="0057205A">
      <w:pPr>
        <w:pStyle w:val="Body"/>
        <w:spacing w:after="0"/>
        <w:ind w:left="714" w:right="720"/>
        <w:jc w:val="both"/>
        <w:rPr>
          <w:rFonts w:eastAsia="Times New Roman"/>
          <w:color w:val="000000" w:themeColor="text1"/>
        </w:rPr>
      </w:pPr>
    </w:p>
    <w:p w14:paraId="2B6C56AB" w14:textId="77777777" w:rsidR="0057205A" w:rsidRPr="0057205A" w:rsidRDefault="0057205A" w:rsidP="0057205A">
      <w:pPr>
        <w:pStyle w:val="Body"/>
        <w:spacing w:after="0"/>
        <w:ind w:left="714" w:right="720"/>
        <w:jc w:val="both"/>
        <w:rPr>
          <w:rFonts w:eastAsia="Times New Roman"/>
          <w:color w:val="000000" w:themeColor="text1"/>
        </w:rPr>
      </w:pPr>
    </w:p>
    <w:p w14:paraId="2B7E8F16" w14:textId="77777777" w:rsidR="000430F1" w:rsidRPr="0057205A" w:rsidRDefault="00ED5F28" w:rsidP="0057205A">
      <w:pPr>
        <w:pStyle w:val="Body"/>
        <w:spacing w:after="0"/>
        <w:ind w:right="720"/>
        <w:jc w:val="both"/>
        <w:rPr>
          <w:rFonts w:eastAsia="Times New Roman Bold"/>
          <w:color w:val="000000" w:themeColor="text1"/>
        </w:rPr>
      </w:pPr>
      <w:r w:rsidRPr="0057205A">
        <w:rPr>
          <w:color w:val="000000" w:themeColor="text1"/>
        </w:rPr>
        <w:t xml:space="preserve">Les responsabilités du Coordinateur </w:t>
      </w:r>
      <w:r w:rsidR="00221391" w:rsidRPr="0057205A">
        <w:rPr>
          <w:color w:val="000000" w:themeColor="text1"/>
        </w:rPr>
        <w:t xml:space="preserve">(CHES) </w:t>
      </w:r>
      <w:r w:rsidRPr="0057205A">
        <w:rPr>
          <w:color w:val="000000" w:themeColor="text1"/>
        </w:rPr>
        <w:t>de ce comité :</w:t>
      </w:r>
    </w:p>
    <w:p w14:paraId="31441802" w14:textId="77777777" w:rsidR="000430F1" w:rsidRPr="0057205A" w:rsidRDefault="000430F1" w:rsidP="0057205A">
      <w:pPr>
        <w:pStyle w:val="Body"/>
        <w:spacing w:after="0"/>
        <w:ind w:right="720"/>
        <w:jc w:val="both"/>
        <w:rPr>
          <w:rFonts w:eastAsia="Times New Roman Bold"/>
          <w:color w:val="000000" w:themeColor="text1"/>
        </w:rPr>
      </w:pPr>
    </w:p>
    <w:p w14:paraId="1C59D67A" w14:textId="77777777" w:rsidR="000430F1" w:rsidRPr="0057205A" w:rsidRDefault="00ED5F28" w:rsidP="0057205A">
      <w:pPr>
        <w:pStyle w:val="Body"/>
        <w:numPr>
          <w:ilvl w:val="0"/>
          <w:numId w:val="16"/>
        </w:numPr>
        <w:tabs>
          <w:tab w:val="clear" w:pos="720"/>
          <w:tab w:val="num" w:pos="756"/>
        </w:tabs>
        <w:spacing w:after="0"/>
        <w:ind w:left="756" w:right="720" w:hanging="396"/>
        <w:jc w:val="both"/>
        <w:rPr>
          <w:rFonts w:eastAsia="Times New Roman"/>
          <w:color w:val="000000" w:themeColor="text1"/>
        </w:rPr>
      </w:pPr>
      <w:r w:rsidRPr="0057205A">
        <w:rPr>
          <w:color w:val="000000" w:themeColor="text1"/>
        </w:rPr>
        <w:t xml:space="preserve">Déterminer l’ordre du jour des réunions, la fréquence </w:t>
      </w:r>
      <w:r w:rsidR="007F2759" w:rsidRPr="0057205A">
        <w:rPr>
          <w:color w:val="000000" w:themeColor="text1"/>
        </w:rPr>
        <w:t xml:space="preserve">(trimestrielle) </w:t>
      </w:r>
      <w:r w:rsidRPr="0057205A">
        <w:rPr>
          <w:color w:val="000000" w:themeColor="text1"/>
        </w:rPr>
        <w:t>et la date de leurs réalisations ; prévenir les membres de ce comité et s’assurer du quorum nécessaire</w:t>
      </w:r>
    </w:p>
    <w:p w14:paraId="3D85C051" w14:textId="77777777" w:rsidR="000430F1" w:rsidRPr="0057205A" w:rsidRDefault="00ED5F28" w:rsidP="0057205A">
      <w:pPr>
        <w:pStyle w:val="Body"/>
        <w:numPr>
          <w:ilvl w:val="0"/>
          <w:numId w:val="16"/>
        </w:numPr>
        <w:tabs>
          <w:tab w:val="clear" w:pos="720"/>
          <w:tab w:val="num" w:pos="756"/>
        </w:tabs>
        <w:spacing w:after="0"/>
        <w:ind w:left="756" w:right="720" w:hanging="396"/>
        <w:jc w:val="both"/>
        <w:rPr>
          <w:rFonts w:eastAsia="Times New Roman"/>
          <w:color w:val="000000" w:themeColor="text1"/>
        </w:rPr>
      </w:pPr>
      <w:r w:rsidRPr="0057205A">
        <w:rPr>
          <w:color w:val="000000" w:themeColor="text1"/>
        </w:rPr>
        <w:t xml:space="preserve">Rédiger </w:t>
      </w:r>
      <w:r w:rsidR="003070BC" w:rsidRPr="0057205A">
        <w:rPr>
          <w:color w:val="000000" w:themeColor="text1"/>
        </w:rPr>
        <w:t>les comptes-rendus</w:t>
      </w:r>
      <w:r w:rsidRPr="0057205A">
        <w:rPr>
          <w:color w:val="000000" w:themeColor="text1"/>
        </w:rPr>
        <w:t xml:space="preserve"> et les archiver</w:t>
      </w:r>
    </w:p>
    <w:p w14:paraId="55047E39" w14:textId="30AF3EEE" w:rsidR="000430F1" w:rsidRPr="0057205A" w:rsidRDefault="00ED5F28" w:rsidP="0057205A">
      <w:pPr>
        <w:pStyle w:val="Body"/>
        <w:numPr>
          <w:ilvl w:val="0"/>
          <w:numId w:val="16"/>
        </w:numPr>
        <w:tabs>
          <w:tab w:val="clear" w:pos="720"/>
          <w:tab w:val="num" w:pos="756"/>
        </w:tabs>
        <w:spacing w:after="0"/>
        <w:ind w:left="756" w:right="720" w:hanging="396"/>
        <w:jc w:val="both"/>
        <w:rPr>
          <w:rFonts w:eastAsia="Times New Roman"/>
          <w:color w:val="000000" w:themeColor="text1"/>
        </w:rPr>
      </w:pPr>
      <w:r w:rsidRPr="0057205A">
        <w:rPr>
          <w:color w:val="000000" w:themeColor="text1"/>
        </w:rPr>
        <w:t>S’assurer de la coordination et du suivi des actions décidées par le comité</w:t>
      </w:r>
    </w:p>
    <w:p w14:paraId="36066399" w14:textId="77777777" w:rsidR="000430F1" w:rsidRPr="0057205A" w:rsidRDefault="000430F1" w:rsidP="0057205A">
      <w:pPr>
        <w:pStyle w:val="Body"/>
        <w:spacing w:before="100" w:after="100"/>
        <w:jc w:val="both"/>
        <w:rPr>
          <w:rFonts w:eastAsia="Times New Roman Bold"/>
          <w:color w:val="000000" w:themeColor="text1"/>
          <w:sz w:val="24"/>
          <w:szCs w:val="24"/>
        </w:rPr>
      </w:pPr>
    </w:p>
    <w:p w14:paraId="41DE73A7" w14:textId="4E0E043B" w:rsidR="000430F1" w:rsidRPr="0057205A" w:rsidRDefault="000430F1" w:rsidP="0057205A">
      <w:pPr>
        <w:pStyle w:val="Body"/>
        <w:jc w:val="both"/>
        <w:rPr>
          <w:color w:val="000000" w:themeColor="text1"/>
        </w:rPr>
      </w:pPr>
    </w:p>
    <w:p w14:paraId="0E07AD81" w14:textId="31B9C747" w:rsidR="000430F1" w:rsidRPr="0057205A" w:rsidRDefault="00317E13" w:rsidP="0057205A">
      <w:pPr>
        <w:pStyle w:val="Heading1"/>
        <w:spacing w:line="276" w:lineRule="auto"/>
        <w:rPr>
          <w:rFonts w:ascii="Calibri" w:hAnsi="Calibri" w:cs="Calibri"/>
          <w:b/>
          <w:bCs/>
          <w:color w:val="C00000"/>
          <w:sz w:val="28"/>
          <w:szCs w:val="28"/>
        </w:rPr>
      </w:pPr>
      <w:bookmarkStart w:id="20" w:name="_Toc122019060"/>
      <w:proofErr w:type="spellStart"/>
      <w:r w:rsidRPr="0057205A">
        <w:rPr>
          <w:rFonts w:ascii="Calibri" w:hAnsi="Calibri" w:cs="Calibri"/>
          <w:b/>
          <w:bCs/>
          <w:color w:val="C00000"/>
          <w:sz w:val="28"/>
          <w:szCs w:val="28"/>
          <w:shd w:val="clear" w:color="auto" w:fill="C0C0C0"/>
        </w:rPr>
        <w:t>Annexe</w:t>
      </w:r>
      <w:proofErr w:type="spellEnd"/>
      <w:r w:rsidRPr="0057205A">
        <w:rPr>
          <w:rFonts w:ascii="Calibri" w:hAnsi="Calibri" w:cs="Calibri"/>
          <w:b/>
          <w:bCs/>
          <w:color w:val="C00000"/>
          <w:sz w:val="28"/>
          <w:szCs w:val="28"/>
          <w:shd w:val="clear" w:color="auto" w:fill="C0C0C0"/>
        </w:rPr>
        <w:t xml:space="preserve"> </w:t>
      </w:r>
      <w:r w:rsidR="0057205A" w:rsidRPr="0057205A">
        <w:rPr>
          <w:rFonts w:ascii="Calibri" w:hAnsi="Calibri" w:cs="Calibri"/>
          <w:b/>
          <w:bCs/>
          <w:color w:val="C00000"/>
          <w:sz w:val="28"/>
          <w:szCs w:val="28"/>
          <w:shd w:val="clear" w:color="auto" w:fill="C0C0C0"/>
        </w:rPr>
        <w:t>IV:</w:t>
      </w:r>
      <w:r w:rsidR="00ED5F28" w:rsidRPr="0057205A">
        <w:rPr>
          <w:rFonts w:ascii="Calibri" w:hAnsi="Calibri" w:cs="Calibri"/>
          <w:b/>
          <w:bCs/>
          <w:color w:val="C00000"/>
          <w:sz w:val="28"/>
          <w:szCs w:val="28"/>
          <w:shd w:val="clear" w:color="auto" w:fill="C0C0C0"/>
        </w:rPr>
        <w:t xml:space="preserve"> </w:t>
      </w:r>
      <w:r w:rsidR="00ED5F28" w:rsidRPr="0057205A">
        <w:rPr>
          <w:rFonts w:ascii="Calibri" w:hAnsi="Calibri" w:cs="Calibri"/>
          <w:b/>
          <w:bCs/>
          <w:color w:val="C00000"/>
          <w:sz w:val="28"/>
          <w:szCs w:val="28"/>
        </w:rPr>
        <w:t>CONTENU ET MODALITÉS DE DÉCLARATION D'EFFET INDÉSIRABLE SURVENU CHEZ UN RECEVEUR DE PRODUIT SANGUIN LABILE</w:t>
      </w:r>
      <w:bookmarkEnd w:id="20"/>
    </w:p>
    <w:p w14:paraId="5797ED8D" w14:textId="77777777" w:rsidR="00DA4B9F" w:rsidRPr="0057205A" w:rsidRDefault="00DA4B9F" w:rsidP="0057205A">
      <w:pPr>
        <w:pStyle w:val="Body"/>
        <w:rPr>
          <w:color w:val="000000" w:themeColor="text1"/>
        </w:rPr>
      </w:pPr>
    </w:p>
    <w:p w14:paraId="7A812332" w14:textId="77777777" w:rsidR="00F72BB4" w:rsidRPr="0057205A" w:rsidRDefault="00F72BB4" w:rsidP="0057205A">
      <w:pPr>
        <w:pStyle w:val="Body"/>
        <w:numPr>
          <w:ilvl w:val="3"/>
          <w:numId w:val="4"/>
        </w:numPr>
        <w:tabs>
          <w:tab w:val="clear" w:pos="2820"/>
        </w:tabs>
        <w:spacing w:before="100" w:after="100"/>
        <w:ind w:left="284" w:hanging="284"/>
        <w:jc w:val="both"/>
        <w:rPr>
          <w:b/>
          <w:bCs/>
          <w:i/>
          <w:iCs/>
          <w:color w:val="000000" w:themeColor="text1"/>
        </w:rPr>
      </w:pPr>
      <w:r w:rsidRPr="0057205A">
        <w:rPr>
          <w:b/>
          <w:bCs/>
          <w:i/>
          <w:iCs/>
          <w:color w:val="000000" w:themeColor="text1"/>
        </w:rPr>
        <w:t>G</w:t>
      </w:r>
      <w:r w:rsidR="00DA4B9F" w:rsidRPr="0057205A">
        <w:rPr>
          <w:i/>
          <w:iCs/>
          <w:color w:val="000000" w:themeColor="text1"/>
        </w:rPr>
        <w:t>é</w:t>
      </w:r>
      <w:r w:rsidRPr="0057205A">
        <w:rPr>
          <w:b/>
          <w:bCs/>
          <w:i/>
          <w:iCs/>
          <w:color w:val="000000" w:themeColor="text1"/>
        </w:rPr>
        <w:t>n</w:t>
      </w:r>
      <w:r w:rsidR="00DA4B9F" w:rsidRPr="0057205A">
        <w:rPr>
          <w:i/>
          <w:iCs/>
          <w:color w:val="000000" w:themeColor="text1"/>
        </w:rPr>
        <w:t>é</w:t>
      </w:r>
      <w:r w:rsidRPr="0057205A">
        <w:rPr>
          <w:b/>
          <w:bCs/>
          <w:i/>
          <w:iCs/>
          <w:color w:val="000000" w:themeColor="text1"/>
        </w:rPr>
        <w:t>ralit</w:t>
      </w:r>
      <w:r w:rsidR="00DA4B9F" w:rsidRPr="0057205A">
        <w:rPr>
          <w:i/>
          <w:iCs/>
          <w:color w:val="000000" w:themeColor="text1"/>
        </w:rPr>
        <w:t>é</w:t>
      </w:r>
      <w:r w:rsidRPr="0057205A">
        <w:rPr>
          <w:b/>
          <w:bCs/>
          <w:i/>
          <w:iCs/>
          <w:color w:val="000000" w:themeColor="text1"/>
        </w:rPr>
        <w:t xml:space="preserve">s </w:t>
      </w:r>
      <w:r w:rsidR="00ED5F28" w:rsidRPr="0057205A">
        <w:rPr>
          <w:b/>
          <w:bCs/>
          <w:i/>
          <w:iCs/>
          <w:color w:val="000000" w:themeColor="text1"/>
        </w:rPr>
        <w:t xml:space="preserve"> </w:t>
      </w:r>
    </w:p>
    <w:p w14:paraId="4730215C" w14:textId="77777777" w:rsidR="000430F1" w:rsidRPr="0057205A" w:rsidRDefault="00ED5F28" w:rsidP="0057205A">
      <w:pPr>
        <w:pStyle w:val="Body"/>
        <w:spacing w:before="100" w:after="100"/>
        <w:jc w:val="both"/>
        <w:rPr>
          <w:rFonts w:eastAsia="Times New Roman"/>
          <w:color w:val="000000" w:themeColor="text1"/>
        </w:rPr>
      </w:pPr>
      <w:r w:rsidRPr="0057205A">
        <w:rPr>
          <w:color w:val="000000" w:themeColor="text1"/>
        </w:rPr>
        <w:t>« Tout médecin, pharmacien, chirurgien-dentiste, sage-femme, infirmière ou infirmier qui a connaissance de l'administration d'un PSL à un de ses patients et qui constate un effet inattendu ou indésirable dû ou susceptible d'être dû à ce produit, doit le signaler sans délai au CHES dans lequel a été administré ce produit ».</w:t>
      </w:r>
    </w:p>
    <w:p w14:paraId="1C7CAB5A" w14:textId="77777777" w:rsidR="000430F1" w:rsidRPr="0057205A" w:rsidRDefault="00ED5F28" w:rsidP="0057205A">
      <w:pPr>
        <w:pStyle w:val="Body"/>
        <w:spacing w:before="100" w:after="100"/>
        <w:jc w:val="both"/>
        <w:rPr>
          <w:rFonts w:eastAsia="Times New Roman"/>
          <w:color w:val="000000" w:themeColor="text1"/>
        </w:rPr>
      </w:pPr>
      <w:r w:rsidRPr="0057205A">
        <w:rPr>
          <w:color w:val="000000" w:themeColor="text1"/>
        </w:rPr>
        <w:t xml:space="preserve">Le </w:t>
      </w:r>
      <w:r w:rsidR="007E24A9" w:rsidRPr="0057205A">
        <w:rPr>
          <w:color w:val="000000" w:themeColor="text1"/>
        </w:rPr>
        <w:t>correspondant de l’ES</w:t>
      </w:r>
      <w:r w:rsidRPr="0057205A">
        <w:rPr>
          <w:color w:val="000000" w:themeColor="text1"/>
        </w:rPr>
        <w:t xml:space="preserve"> dans lequel a eu lieu l'administration du produit en cause procède aux investigations et examens appropriés dans le service concerné</w:t>
      </w:r>
      <w:r w:rsidR="00391FAD" w:rsidRPr="0057205A">
        <w:rPr>
          <w:color w:val="000000" w:themeColor="text1"/>
        </w:rPr>
        <w:t>.</w:t>
      </w:r>
      <w:r w:rsidRPr="0057205A">
        <w:rPr>
          <w:color w:val="000000" w:themeColor="text1"/>
        </w:rPr>
        <w:t xml:space="preserve"> </w:t>
      </w:r>
      <w:r w:rsidR="00B35614" w:rsidRPr="0057205A">
        <w:rPr>
          <w:color w:val="000000" w:themeColor="text1"/>
        </w:rPr>
        <w:t xml:space="preserve">Il </w:t>
      </w:r>
      <w:r w:rsidRPr="0057205A">
        <w:rPr>
          <w:color w:val="000000" w:themeColor="text1"/>
        </w:rPr>
        <w:t>rédige une FIT dont une copie est jointe au dossier médical</w:t>
      </w:r>
      <w:r w:rsidR="00B35614" w:rsidRPr="0057205A">
        <w:rPr>
          <w:color w:val="000000" w:themeColor="text1"/>
        </w:rPr>
        <w:t>, en informe le centre distributeur et déclare l’incident Receveur sur la plateforme électronique du MSP à destination du C</w:t>
      </w:r>
      <w:r w:rsidR="002C2966" w:rsidRPr="0057205A">
        <w:rPr>
          <w:color w:val="000000" w:themeColor="text1"/>
        </w:rPr>
        <w:t>LTS.</w:t>
      </w:r>
      <w:r w:rsidR="00B35614" w:rsidRPr="0057205A">
        <w:rPr>
          <w:color w:val="000000" w:themeColor="text1"/>
        </w:rPr>
        <w:t xml:space="preserve"> </w:t>
      </w:r>
    </w:p>
    <w:p w14:paraId="75C668DE" w14:textId="3F8379D0" w:rsidR="000430F1" w:rsidRPr="0057205A" w:rsidRDefault="00ED5F28" w:rsidP="0057205A">
      <w:pPr>
        <w:pStyle w:val="Body"/>
        <w:spacing w:before="100" w:after="100"/>
        <w:jc w:val="both"/>
        <w:rPr>
          <w:rFonts w:eastAsia="Times New Roman"/>
          <w:color w:val="000000" w:themeColor="text1"/>
        </w:rPr>
      </w:pPr>
      <w:r w:rsidRPr="0057205A">
        <w:rPr>
          <w:color w:val="000000" w:themeColor="text1"/>
        </w:rPr>
        <w:t xml:space="preserve">La survenue de tout incident transfusionnel doit conduire à évaluer l'organisation et le fonctionnement du dispositif de traçabilité et plus largement de ST. Cette évaluation doit être effectuée par </w:t>
      </w:r>
      <w:r w:rsidR="0057205A" w:rsidRPr="0057205A">
        <w:rPr>
          <w:color w:val="000000" w:themeColor="text1"/>
        </w:rPr>
        <w:t>les CHES</w:t>
      </w:r>
      <w:r w:rsidRPr="0057205A">
        <w:rPr>
          <w:color w:val="000000" w:themeColor="text1"/>
        </w:rPr>
        <w:t xml:space="preserve">, en liaison avec le CSTH. Les correspondants saisissent le cas échéant le comité de propositions d'actions correctives et préventives, propres à accroître l'efficacité du dispositif et concernant notamment la formation du personnel du service où l'incident est survenu. </w:t>
      </w:r>
    </w:p>
    <w:p w14:paraId="57B2104C" w14:textId="77777777" w:rsidR="00334165" w:rsidRPr="0057205A" w:rsidRDefault="00334165" w:rsidP="0057205A">
      <w:pPr>
        <w:pStyle w:val="Body"/>
        <w:spacing w:before="100" w:after="100"/>
        <w:jc w:val="both"/>
        <w:rPr>
          <w:b/>
          <w:bCs/>
          <w:i/>
          <w:iCs/>
          <w:color w:val="000000" w:themeColor="text1"/>
        </w:rPr>
      </w:pPr>
    </w:p>
    <w:p w14:paraId="652812FE" w14:textId="77777777" w:rsidR="000430F1" w:rsidRPr="0057205A" w:rsidRDefault="00DA4B9F" w:rsidP="0057205A">
      <w:pPr>
        <w:pStyle w:val="Body"/>
        <w:spacing w:before="100" w:after="100"/>
        <w:jc w:val="both"/>
        <w:rPr>
          <w:rFonts w:eastAsia="Times New Roman"/>
          <w:b/>
          <w:bCs/>
          <w:i/>
          <w:iCs/>
          <w:color w:val="000000" w:themeColor="text1"/>
        </w:rPr>
      </w:pPr>
      <w:r w:rsidRPr="0057205A">
        <w:rPr>
          <w:b/>
          <w:bCs/>
          <w:i/>
          <w:iCs/>
          <w:color w:val="000000" w:themeColor="text1"/>
        </w:rPr>
        <w:t>2</w:t>
      </w:r>
      <w:r w:rsidR="00ED5F28" w:rsidRPr="0057205A">
        <w:rPr>
          <w:b/>
          <w:bCs/>
          <w:i/>
          <w:iCs/>
          <w:color w:val="000000" w:themeColor="text1"/>
        </w:rPr>
        <w:t xml:space="preserve">. Contenu de la fiche </w:t>
      </w:r>
    </w:p>
    <w:p w14:paraId="4D6D7CE1" w14:textId="77777777" w:rsidR="00DB5024" w:rsidRPr="0057205A" w:rsidRDefault="00ED5F28" w:rsidP="0057205A">
      <w:pPr>
        <w:pStyle w:val="Body"/>
        <w:spacing w:before="100" w:after="100"/>
        <w:jc w:val="both"/>
        <w:rPr>
          <w:b/>
          <w:bCs/>
          <w:color w:val="000000" w:themeColor="text1"/>
        </w:rPr>
      </w:pPr>
      <w:r w:rsidRPr="0057205A">
        <w:rPr>
          <w:color w:val="000000" w:themeColor="text1"/>
        </w:rPr>
        <w:t xml:space="preserve">La rédaction de la FIT est </w:t>
      </w:r>
      <w:r w:rsidRPr="0057205A">
        <w:rPr>
          <w:b/>
          <w:bCs/>
          <w:color w:val="000000" w:themeColor="text1"/>
        </w:rPr>
        <w:t>obligatoire</w:t>
      </w:r>
      <w:r w:rsidRPr="0057205A">
        <w:rPr>
          <w:color w:val="000000" w:themeColor="text1"/>
        </w:rPr>
        <w:t xml:space="preserve"> quelle que soit la gravité de l'incident. Elle a pour objet le constat de l'incident et une amorce d'analyse relative à son imputabilité, telle qu'elle peut être appréhendée en </w:t>
      </w:r>
      <w:r w:rsidR="00DB5024" w:rsidRPr="0057205A">
        <w:rPr>
          <w:b/>
          <w:bCs/>
          <w:color w:val="000000" w:themeColor="text1"/>
        </w:rPr>
        <w:t>soixante-douze</w:t>
      </w:r>
      <w:r w:rsidR="00DA4B9F" w:rsidRPr="0057205A">
        <w:rPr>
          <w:b/>
          <w:bCs/>
          <w:color w:val="000000" w:themeColor="text1"/>
        </w:rPr>
        <w:t xml:space="preserve"> heures </w:t>
      </w:r>
      <w:r w:rsidR="00CC2A04" w:rsidRPr="0057205A">
        <w:rPr>
          <w:color w:val="000000" w:themeColor="text1"/>
        </w:rPr>
        <w:t xml:space="preserve">(cf. niveaux d’imputabilité dans annexe </w:t>
      </w:r>
      <w:r w:rsidR="003D09CB" w:rsidRPr="0057205A">
        <w:rPr>
          <w:color w:val="000000" w:themeColor="text1"/>
        </w:rPr>
        <w:t>V</w:t>
      </w:r>
      <w:r w:rsidR="00CC2A04" w:rsidRPr="0057205A">
        <w:rPr>
          <w:color w:val="000000" w:themeColor="text1"/>
        </w:rPr>
        <w:t>).</w:t>
      </w:r>
      <w:r w:rsidRPr="0057205A">
        <w:rPr>
          <w:b/>
          <w:bCs/>
          <w:color w:val="000000" w:themeColor="text1"/>
        </w:rPr>
        <w:t xml:space="preserve"> </w:t>
      </w:r>
    </w:p>
    <w:p w14:paraId="7C5C9F13" w14:textId="48A0FB30" w:rsidR="00334165" w:rsidRPr="0057205A" w:rsidRDefault="00ED5F28" w:rsidP="0057205A">
      <w:pPr>
        <w:pStyle w:val="Body"/>
        <w:spacing w:before="100" w:after="100"/>
        <w:jc w:val="both"/>
        <w:rPr>
          <w:color w:val="000000" w:themeColor="text1"/>
        </w:rPr>
      </w:pPr>
      <w:r w:rsidRPr="0057205A">
        <w:rPr>
          <w:color w:val="000000" w:themeColor="text1"/>
        </w:rPr>
        <w:t xml:space="preserve">La FIT doit comprendre l'ensemble des éléments de l’enquête et se réfère à la liste des évènements indésirables chez le </w:t>
      </w:r>
      <w:r w:rsidR="00DA4B9F" w:rsidRPr="0057205A">
        <w:rPr>
          <w:color w:val="000000" w:themeColor="text1"/>
        </w:rPr>
        <w:t>R</w:t>
      </w:r>
      <w:r w:rsidRPr="0057205A">
        <w:rPr>
          <w:color w:val="000000" w:themeColor="text1"/>
        </w:rPr>
        <w:t>eceveur pour la conclusion de l’enquête (</w:t>
      </w:r>
      <w:r w:rsidR="00DA4B9F" w:rsidRPr="0057205A">
        <w:rPr>
          <w:color w:val="000000" w:themeColor="text1"/>
        </w:rPr>
        <w:t>Doc. L</w:t>
      </w:r>
      <w:r w:rsidR="007E24A9" w:rsidRPr="0057205A">
        <w:rPr>
          <w:color w:val="000000" w:themeColor="text1"/>
        </w:rPr>
        <w:t>iste et codification des</w:t>
      </w:r>
      <w:r w:rsidRPr="0057205A">
        <w:rPr>
          <w:color w:val="000000" w:themeColor="text1"/>
        </w:rPr>
        <w:t xml:space="preserve"> </w:t>
      </w:r>
      <w:r w:rsidR="002F435E" w:rsidRPr="0057205A">
        <w:rPr>
          <w:color w:val="000000" w:themeColor="text1"/>
        </w:rPr>
        <w:t xml:space="preserve">Incidents Transfusionnels Receveur - </w:t>
      </w:r>
      <w:r w:rsidR="009A5A13" w:rsidRPr="0057205A">
        <w:rPr>
          <w:color w:val="000000" w:themeColor="text1"/>
        </w:rPr>
        <w:t>LCITR)</w:t>
      </w:r>
      <w:r w:rsidRPr="0057205A">
        <w:rPr>
          <w:color w:val="000000" w:themeColor="text1"/>
        </w:rPr>
        <w:t xml:space="preserve">. La fiche concerne tout à la fois les incidents </w:t>
      </w:r>
      <w:r w:rsidRPr="0057205A">
        <w:rPr>
          <w:b/>
          <w:bCs/>
          <w:color w:val="000000" w:themeColor="text1"/>
        </w:rPr>
        <w:t>immédiats</w:t>
      </w:r>
      <w:r w:rsidRPr="0057205A">
        <w:rPr>
          <w:color w:val="000000" w:themeColor="text1"/>
        </w:rPr>
        <w:t xml:space="preserve"> apparus au cours de l'acte transfusionnel ou dans </w:t>
      </w:r>
      <w:r w:rsidRPr="0057205A">
        <w:rPr>
          <w:b/>
          <w:bCs/>
          <w:color w:val="000000" w:themeColor="text1"/>
        </w:rPr>
        <w:t>les huit jours</w:t>
      </w:r>
      <w:r w:rsidRPr="0057205A">
        <w:rPr>
          <w:color w:val="000000" w:themeColor="text1"/>
        </w:rPr>
        <w:t xml:space="preserve"> qui suivent, et les incidents </w:t>
      </w:r>
      <w:r w:rsidRPr="0057205A">
        <w:rPr>
          <w:b/>
          <w:bCs/>
          <w:color w:val="000000" w:themeColor="text1"/>
        </w:rPr>
        <w:t>retardés</w:t>
      </w:r>
      <w:r w:rsidRPr="0057205A">
        <w:rPr>
          <w:color w:val="000000" w:themeColor="text1"/>
        </w:rPr>
        <w:t xml:space="preserve"> apparus postérieurement. </w:t>
      </w:r>
    </w:p>
    <w:p w14:paraId="084F85DB" w14:textId="0F2B8DAD" w:rsidR="00FE5736" w:rsidRPr="0057205A" w:rsidRDefault="00ED5F28" w:rsidP="0057205A">
      <w:pPr>
        <w:pStyle w:val="Body"/>
        <w:spacing w:before="100" w:after="100"/>
        <w:jc w:val="both"/>
        <w:rPr>
          <w:color w:val="000000" w:themeColor="text1"/>
        </w:rPr>
      </w:pPr>
      <w:r w:rsidRPr="0057205A">
        <w:rPr>
          <w:color w:val="000000" w:themeColor="text1"/>
        </w:rPr>
        <w:t>S'agissant de la rubrique PSL susceptibles d'avoir causé l'incident, il est nécessaire d'inscrire la dénomination des produits transfusés</w:t>
      </w:r>
      <w:r w:rsidR="00E0772E" w:rsidRPr="0057205A">
        <w:rPr>
          <w:color w:val="000000" w:themeColor="text1"/>
        </w:rPr>
        <w:t>, d’indiquer le produit responsable de l’</w:t>
      </w:r>
      <w:r w:rsidR="002F435E" w:rsidRPr="0057205A">
        <w:rPr>
          <w:color w:val="000000" w:themeColor="text1"/>
        </w:rPr>
        <w:t>IT</w:t>
      </w:r>
      <w:r w:rsidRPr="0057205A">
        <w:rPr>
          <w:color w:val="000000" w:themeColor="text1"/>
        </w:rPr>
        <w:t xml:space="preserve"> et l'identification </w:t>
      </w:r>
      <w:r w:rsidR="00AA2F21" w:rsidRPr="0057205A">
        <w:rPr>
          <w:color w:val="000000" w:themeColor="text1"/>
        </w:rPr>
        <w:t xml:space="preserve">du </w:t>
      </w:r>
      <w:r w:rsidRPr="0057205A">
        <w:rPr>
          <w:color w:val="000000" w:themeColor="text1"/>
        </w:rPr>
        <w:t>CTSD</w:t>
      </w:r>
      <w:r w:rsidR="00334165" w:rsidRPr="0057205A">
        <w:rPr>
          <w:color w:val="000000" w:themeColor="text1"/>
        </w:rPr>
        <w:t>.</w:t>
      </w:r>
      <w:r w:rsidR="00DB5024" w:rsidRPr="0057205A">
        <w:rPr>
          <w:color w:val="000000" w:themeColor="text1"/>
        </w:rPr>
        <w:t xml:space="preserve"> </w:t>
      </w:r>
      <w:r w:rsidRPr="0057205A">
        <w:rPr>
          <w:color w:val="000000" w:themeColor="text1"/>
        </w:rPr>
        <w:t xml:space="preserve">Lors de la rédaction de chaque fiche d'incident transfusionnel, le CHES attribue à l'incident un numéro d'ordre </w:t>
      </w:r>
      <w:r w:rsidR="00DB5024" w:rsidRPr="0057205A">
        <w:rPr>
          <w:color w:val="000000" w:themeColor="text1"/>
        </w:rPr>
        <w:t>à</w:t>
      </w:r>
      <w:r w:rsidRPr="0057205A">
        <w:rPr>
          <w:color w:val="000000" w:themeColor="text1"/>
        </w:rPr>
        <w:t xml:space="preserve"> 8 chiffres</w:t>
      </w:r>
      <w:r w:rsidR="00DB5024" w:rsidRPr="0057205A">
        <w:rPr>
          <w:color w:val="000000" w:themeColor="text1"/>
        </w:rPr>
        <w:t>.</w:t>
      </w:r>
      <w:r w:rsidR="00AA2F21" w:rsidRPr="0057205A">
        <w:rPr>
          <w:color w:val="000000" w:themeColor="text1"/>
        </w:rPr>
        <w:t xml:space="preserve"> (</w:t>
      </w:r>
      <w:r w:rsidR="009A5A13" w:rsidRPr="0057205A">
        <w:rPr>
          <w:color w:val="000000" w:themeColor="text1"/>
        </w:rPr>
        <w:t>Cf.</w:t>
      </w:r>
      <w:r w:rsidR="00AA2F21" w:rsidRPr="0057205A">
        <w:rPr>
          <w:color w:val="000000" w:themeColor="text1"/>
        </w:rPr>
        <w:t xml:space="preserve"> G</w:t>
      </w:r>
      <w:r w:rsidRPr="0057205A">
        <w:rPr>
          <w:color w:val="000000" w:themeColor="text1"/>
        </w:rPr>
        <w:t>uide d’utilisation de FIT).</w:t>
      </w:r>
    </w:p>
    <w:p w14:paraId="6DCED00A" w14:textId="77777777" w:rsidR="00334165" w:rsidRPr="0057205A" w:rsidRDefault="00334165" w:rsidP="0057205A">
      <w:pPr>
        <w:pStyle w:val="Body"/>
        <w:spacing w:before="100" w:after="100"/>
        <w:jc w:val="both"/>
        <w:rPr>
          <w:b/>
          <w:bCs/>
          <w:i/>
          <w:iCs/>
          <w:color w:val="000000" w:themeColor="text1"/>
          <w:shd w:val="clear" w:color="auto" w:fill="FFFFFF"/>
        </w:rPr>
      </w:pPr>
    </w:p>
    <w:p w14:paraId="320FF34A" w14:textId="77777777" w:rsidR="000430F1" w:rsidRPr="0057205A" w:rsidRDefault="00DA4B9F" w:rsidP="0057205A">
      <w:pPr>
        <w:pStyle w:val="Body"/>
        <w:spacing w:before="100" w:after="100"/>
        <w:jc w:val="both"/>
        <w:rPr>
          <w:rFonts w:eastAsia="Times New Roman Bold"/>
          <w:b/>
          <w:bCs/>
          <w:i/>
          <w:iCs/>
          <w:color w:val="000000" w:themeColor="text1"/>
          <w:shd w:val="clear" w:color="auto" w:fill="FFFFFF"/>
        </w:rPr>
      </w:pPr>
      <w:r w:rsidRPr="0057205A">
        <w:rPr>
          <w:b/>
          <w:bCs/>
          <w:i/>
          <w:iCs/>
          <w:color w:val="000000" w:themeColor="text1"/>
          <w:shd w:val="clear" w:color="auto" w:fill="FFFFFF"/>
        </w:rPr>
        <w:t>3</w:t>
      </w:r>
      <w:r w:rsidR="00ED5F28" w:rsidRPr="0057205A">
        <w:rPr>
          <w:b/>
          <w:bCs/>
          <w:i/>
          <w:iCs/>
          <w:color w:val="000000" w:themeColor="text1"/>
          <w:shd w:val="clear" w:color="auto" w:fill="FFFFFF"/>
        </w:rPr>
        <w:t>. Modalités de signalement</w:t>
      </w:r>
    </w:p>
    <w:p w14:paraId="28F527D7" w14:textId="77777777" w:rsidR="000430F1" w:rsidRPr="0057205A" w:rsidRDefault="00A15A2C" w:rsidP="0057205A">
      <w:pPr>
        <w:pStyle w:val="Body"/>
        <w:spacing w:before="100" w:after="100"/>
        <w:jc w:val="both"/>
        <w:rPr>
          <w:color w:val="000000" w:themeColor="text1"/>
        </w:rPr>
      </w:pPr>
      <w:r w:rsidRPr="0057205A">
        <w:rPr>
          <w:color w:val="000000" w:themeColor="text1"/>
        </w:rPr>
        <w:t>L</w:t>
      </w:r>
      <w:r w:rsidR="00ED5F28" w:rsidRPr="0057205A">
        <w:rPr>
          <w:color w:val="000000" w:themeColor="text1"/>
        </w:rPr>
        <w:t xml:space="preserve">a personne qui constate l'incident dispose d'un délai </w:t>
      </w:r>
      <w:r w:rsidR="00ED5F28" w:rsidRPr="0057205A">
        <w:rPr>
          <w:b/>
          <w:bCs/>
          <w:color w:val="000000" w:themeColor="text1"/>
        </w:rPr>
        <w:t>de huit heures</w:t>
      </w:r>
      <w:r w:rsidR="00ED5F28" w:rsidRPr="0057205A">
        <w:rPr>
          <w:color w:val="000000" w:themeColor="text1"/>
        </w:rPr>
        <w:t xml:space="preserve"> pour en informer le CHES. Cette information doit se faire par tous le</w:t>
      </w:r>
      <w:r w:rsidR="00AA2F21" w:rsidRPr="0057205A">
        <w:rPr>
          <w:color w:val="000000" w:themeColor="text1"/>
        </w:rPr>
        <w:t>s</w:t>
      </w:r>
      <w:r w:rsidR="00ED5F28" w:rsidRPr="0057205A">
        <w:rPr>
          <w:color w:val="000000" w:themeColor="text1"/>
        </w:rPr>
        <w:t xml:space="preserve"> moyens disponibles localement (téléphone, fax, courrier électronique…)</w:t>
      </w:r>
      <w:r w:rsidR="00AA2F21" w:rsidRPr="0057205A">
        <w:rPr>
          <w:color w:val="000000" w:themeColor="text1"/>
        </w:rPr>
        <w:t xml:space="preserve"> </w:t>
      </w:r>
      <w:r w:rsidR="00ED5F28" w:rsidRPr="0057205A">
        <w:rPr>
          <w:color w:val="000000" w:themeColor="text1"/>
        </w:rPr>
        <w:t xml:space="preserve">au CHES, qui à son tour prévient le correspondant rattaché au </w:t>
      </w:r>
      <w:r w:rsidR="004A3EC3" w:rsidRPr="0057205A">
        <w:rPr>
          <w:color w:val="000000" w:themeColor="text1"/>
        </w:rPr>
        <w:t>CTSD</w:t>
      </w:r>
      <w:r w:rsidR="00ED5F28" w:rsidRPr="0057205A">
        <w:rPr>
          <w:color w:val="000000" w:themeColor="text1"/>
        </w:rPr>
        <w:t xml:space="preserve"> </w:t>
      </w:r>
      <w:r w:rsidR="00AA2F21" w:rsidRPr="0057205A">
        <w:rPr>
          <w:color w:val="000000" w:themeColor="text1"/>
        </w:rPr>
        <w:t>si nécessaire</w:t>
      </w:r>
      <w:r w:rsidR="00ED5F28" w:rsidRPr="0057205A">
        <w:rPr>
          <w:color w:val="000000" w:themeColor="text1"/>
        </w:rPr>
        <w:t>.</w:t>
      </w:r>
    </w:p>
    <w:p w14:paraId="6006214B" w14:textId="77777777" w:rsidR="00176F13" w:rsidRPr="0057205A" w:rsidRDefault="00176F13" w:rsidP="0057205A">
      <w:pPr>
        <w:pStyle w:val="Body"/>
        <w:spacing w:before="100" w:after="100"/>
        <w:jc w:val="both"/>
        <w:rPr>
          <w:color w:val="000000" w:themeColor="text1"/>
        </w:rPr>
      </w:pPr>
    </w:p>
    <w:p w14:paraId="6638314E" w14:textId="77777777" w:rsidR="00176F13" w:rsidRPr="0057205A" w:rsidRDefault="00FD73FB" w:rsidP="0057205A">
      <w:pPr>
        <w:pStyle w:val="Body"/>
        <w:spacing w:before="100" w:after="100"/>
        <w:jc w:val="both"/>
        <w:rPr>
          <w:rFonts w:eastAsia="Times New Roman"/>
          <w:b/>
          <w:bCs/>
          <w:i/>
          <w:iCs/>
          <w:color w:val="000000" w:themeColor="text1"/>
        </w:rPr>
      </w:pPr>
      <w:r w:rsidRPr="0057205A">
        <w:rPr>
          <w:b/>
          <w:bCs/>
          <w:i/>
          <w:iCs/>
          <w:color w:val="000000" w:themeColor="text1"/>
        </w:rPr>
        <w:t>4.</w:t>
      </w:r>
      <w:r w:rsidR="00176F13" w:rsidRPr="0057205A">
        <w:rPr>
          <w:b/>
          <w:bCs/>
          <w:i/>
          <w:iCs/>
          <w:color w:val="000000" w:themeColor="text1"/>
        </w:rPr>
        <w:t>Modalités de déclaration</w:t>
      </w:r>
    </w:p>
    <w:p w14:paraId="685FE181" w14:textId="36F443C6" w:rsidR="00334165" w:rsidRPr="0057205A" w:rsidRDefault="00ED5F28" w:rsidP="0057205A">
      <w:pPr>
        <w:pStyle w:val="Body"/>
        <w:spacing w:before="100" w:after="100"/>
        <w:jc w:val="both"/>
        <w:rPr>
          <w:rFonts w:eastAsia="Times New Roman"/>
          <w:color w:val="FF0000"/>
        </w:rPr>
      </w:pPr>
      <w:r w:rsidRPr="0057205A">
        <w:rPr>
          <w:color w:val="000000" w:themeColor="text1"/>
        </w:rPr>
        <w:t>Dans les 72 heures qui suivent l</w:t>
      </w:r>
      <w:r w:rsidR="00C05A7C" w:rsidRPr="0057205A">
        <w:rPr>
          <w:color w:val="000000" w:themeColor="text1"/>
        </w:rPr>
        <w:t>e</w:t>
      </w:r>
      <w:r w:rsidRPr="0057205A">
        <w:rPr>
          <w:color w:val="000000" w:themeColor="text1"/>
        </w:rPr>
        <w:t xml:space="preserve"> </w:t>
      </w:r>
      <w:r w:rsidR="00DB5EBF" w:rsidRPr="0057205A">
        <w:rPr>
          <w:color w:val="000000" w:themeColor="text1"/>
        </w:rPr>
        <w:t xml:space="preserve">signalement </w:t>
      </w:r>
      <w:r w:rsidRPr="0057205A">
        <w:rPr>
          <w:color w:val="000000" w:themeColor="text1"/>
        </w:rPr>
        <w:t>de l'incident transfusionnel, le correspondant doit mener une enquête et rédige une FIT qu'il signe seul ou conjointement avec le correspondant rattaché au CTSD</w:t>
      </w:r>
      <w:r w:rsidR="00CD64CD" w:rsidRPr="0057205A">
        <w:rPr>
          <w:color w:val="000000" w:themeColor="text1"/>
        </w:rPr>
        <w:t xml:space="preserve"> </w:t>
      </w:r>
      <w:r w:rsidR="00CD64CD" w:rsidRPr="0057205A">
        <w:rPr>
          <w:color w:val="FF0000"/>
        </w:rPr>
        <w:t xml:space="preserve">dans le cas </w:t>
      </w:r>
      <w:r w:rsidR="00FA287D" w:rsidRPr="0057205A">
        <w:rPr>
          <w:color w:val="FF0000"/>
        </w:rPr>
        <w:t>où</w:t>
      </w:r>
      <w:r w:rsidR="00CD64CD" w:rsidRPr="0057205A">
        <w:rPr>
          <w:color w:val="FF0000"/>
        </w:rPr>
        <w:t xml:space="preserve"> le PSL provient d’un CTS référent</w:t>
      </w:r>
      <w:r w:rsidRPr="0057205A">
        <w:rPr>
          <w:color w:val="000000" w:themeColor="text1"/>
        </w:rPr>
        <w:t xml:space="preserve">. Dans ce même délai de 72 heures, le correspondant </w:t>
      </w:r>
      <w:r w:rsidR="00176F13" w:rsidRPr="0057205A">
        <w:rPr>
          <w:color w:val="000000" w:themeColor="text1"/>
        </w:rPr>
        <w:t>se base sur les</w:t>
      </w:r>
      <w:r w:rsidR="006366AF" w:rsidRPr="0057205A">
        <w:rPr>
          <w:color w:val="000000" w:themeColor="text1"/>
        </w:rPr>
        <w:t xml:space="preserve"> résultats </w:t>
      </w:r>
      <w:r w:rsidR="006366AF" w:rsidRPr="0057205A">
        <w:rPr>
          <w:color w:val="000000" w:themeColor="text1"/>
        </w:rPr>
        <w:lastRenderedPageBreak/>
        <w:t>des investigations et les</w:t>
      </w:r>
      <w:r w:rsidR="00176F13" w:rsidRPr="0057205A">
        <w:rPr>
          <w:color w:val="000000" w:themeColor="text1"/>
        </w:rPr>
        <w:t xml:space="preserve"> informations de la FIT pour faire une </w:t>
      </w:r>
      <w:r w:rsidR="006366AF" w:rsidRPr="0057205A">
        <w:rPr>
          <w:color w:val="000000" w:themeColor="text1"/>
        </w:rPr>
        <w:t>déclaration</w:t>
      </w:r>
      <w:r w:rsidR="00176F13" w:rsidRPr="0057205A">
        <w:rPr>
          <w:color w:val="000000" w:themeColor="text1"/>
        </w:rPr>
        <w:t xml:space="preserve"> en ligne </w:t>
      </w:r>
      <w:r w:rsidR="006366AF" w:rsidRPr="0057205A">
        <w:rPr>
          <w:color w:val="000000" w:themeColor="text1"/>
        </w:rPr>
        <w:t xml:space="preserve">sur </w:t>
      </w:r>
      <w:r w:rsidR="00743BE8" w:rsidRPr="0057205A">
        <w:rPr>
          <w:color w:val="000000" w:themeColor="text1"/>
        </w:rPr>
        <w:t>la plateforme électronique spécifique à destination du</w:t>
      </w:r>
      <w:r w:rsidR="002C2966" w:rsidRPr="0057205A">
        <w:rPr>
          <w:color w:val="000000" w:themeColor="text1"/>
        </w:rPr>
        <w:t xml:space="preserve"> CLTS</w:t>
      </w:r>
      <w:r w:rsidR="00743BE8" w:rsidRPr="0057205A">
        <w:rPr>
          <w:color w:val="000000" w:themeColor="text1"/>
        </w:rPr>
        <w:t xml:space="preserve"> </w:t>
      </w:r>
      <w:r w:rsidR="00FD73FB" w:rsidRPr="0057205A">
        <w:rPr>
          <w:color w:val="000000" w:themeColor="text1"/>
        </w:rPr>
        <w:t xml:space="preserve">(voir guide de la déclaration en ligne) </w:t>
      </w:r>
      <w:r w:rsidRPr="0057205A">
        <w:rPr>
          <w:color w:val="000000" w:themeColor="text1"/>
        </w:rPr>
        <w:t xml:space="preserve">qui peut </w:t>
      </w:r>
      <w:r w:rsidR="00DC7844" w:rsidRPr="0057205A">
        <w:rPr>
          <w:color w:val="000000" w:themeColor="text1"/>
        </w:rPr>
        <w:t>informer</w:t>
      </w:r>
      <w:r w:rsidRPr="0057205A">
        <w:rPr>
          <w:color w:val="000000" w:themeColor="text1"/>
        </w:rPr>
        <w:t xml:space="preserve"> immédiatement le directeur de la santé s’il le juge nécessaire.</w:t>
      </w:r>
      <w:r w:rsidR="006366AF" w:rsidRPr="0057205A">
        <w:rPr>
          <w:color w:val="000000" w:themeColor="text1"/>
        </w:rPr>
        <w:t xml:space="preserve"> </w:t>
      </w:r>
      <w:r w:rsidR="00FD73FB" w:rsidRPr="0057205A">
        <w:rPr>
          <w:color w:val="000000" w:themeColor="text1"/>
        </w:rPr>
        <w:t xml:space="preserve">La déclaration en ligne précise les signes cliniques et la sévérité de l’incident, le diagnostic retenu et son degré d’imputabilité. </w:t>
      </w:r>
      <w:r w:rsidR="00CD64CD" w:rsidRPr="0057205A">
        <w:rPr>
          <w:color w:val="FF0000"/>
        </w:rPr>
        <w:t>La déclaration ne doit pas dépasser les 72 heures</w:t>
      </w:r>
      <w:r w:rsidR="00F13328" w:rsidRPr="0057205A">
        <w:rPr>
          <w:color w:val="FF0000"/>
        </w:rPr>
        <w:t xml:space="preserve"> (car </w:t>
      </w:r>
      <w:r w:rsidR="00CB1305" w:rsidRPr="0057205A">
        <w:rPr>
          <w:color w:val="FF0000"/>
        </w:rPr>
        <w:t>ceci</w:t>
      </w:r>
      <w:r w:rsidR="00F13328" w:rsidRPr="0057205A">
        <w:rPr>
          <w:color w:val="FF0000"/>
        </w:rPr>
        <w:t xml:space="preserve"> p</w:t>
      </w:r>
      <w:r w:rsidR="00B34AAE" w:rsidRPr="0057205A">
        <w:rPr>
          <w:color w:val="FF0000"/>
        </w:rPr>
        <w:t>ourrait</w:t>
      </w:r>
      <w:r w:rsidR="00F13328" w:rsidRPr="0057205A">
        <w:rPr>
          <w:color w:val="FF0000"/>
        </w:rPr>
        <w:t xml:space="preserve"> mettre en jeu la sécurité</w:t>
      </w:r>
      <w:r w:rsidR="00CB1305" w:rsidRPr="0057205A">
        <w:rPr>
          <w:color w:val="FF0000"/>
        </w:rPr>
        <w:t xml:space="preserve"> des patients</w:t>
      </w:r>
      <w:r w:rsidR="00F13328" w:rsidRPr="0057205A">
        <w:rPr>
          <w:color w:val="FF0000"/>
        </w:rPr>
        <w:t>)</w:t>
      </w:r>
      <w:r w:rsidR="005667C1" w:rsidRPr="0057205A">
        <w:rPr>
          <w:color w:val="FF0000"/>
        </w:rPr>
        <w:t xml:space="preserve"> </w:t>
      </w:r>
      <w:proofErr w:type="gramStart"/>
      <w:r w:rsidR="005667C1" w:rsidRPr="0057205A">
        <w:rPr>
          <w:color w:val="FF0000"/>
        </w:rPr>
        <w:t>par contre</w:t>
      </w:r>
      <w:proofErr w:type="gramEnd"/>
      <w:r w:rsidR="005667C1" w:rsidRPr="0057205A">
        <w:rPr>
          <w:color w:val="FF0000"/>
        </w:rPr>
        <w:t xml:space="preserve"> l’enquête pourrait se poursuivre au-delà de ce délai si nécessaire</w:t>
      </w:r>
      <w:r w:rsidR="00CB1305" w:rsidRPr="0057205A">
        <w:rPr>
          <w:color w:val="FF0000"/>
        </w:rPr>
        <w:t>.</w:t>
      </w:r>
    </w:p>
    <w:p w14:paraId="5AF9A891" w14:textId="0BF62871" w:rsidR="00C05A7C" w:rsidRPr="0057205A" w:rsidRDefault="00ED5F28" w:rsidP="0057205A">
      <w:pPr>
        <w:pStyle w:val="Body"/>
        <w:spacing w:before="100" w:after="100"/>
        <w:jc w:val="both"/>
        <w:rPr>
          <w:strike/>
          <w:color w:val="000000" w:themeColor="text1"/>
          <w:u w:color="FF0000"/>
        </w:rPr>
      </w:pPr>
      <w:r w:rsidRPr="0057205A">
        <w:rPr>
          <w:color w:val="000000" w:themeColor="text1"/>
        </w:rPr>
        <w:t xml:space="preserve">Le </w:t>
      </w:r>
      <w:r w:rsidR="002C2966" w:rsidRPr="0057205A">
        <w:rPr>
          <w:color w:val="000000" w:themeColor="text1"/>
        </w:rPr>
        <w:t>CLTS</w:t>
      </w:r>
      <w:r w:rsidRPr="0057205A">
        <w:rPr>
          <w:color w:val="000000" w:themeColor="text1"/>
        </w:rPr>
        <w:t xml:space="preserve"> reçoit </w:t>
      </w:r>
      <w:r w:rsidR="00900ABC" w:rsidRPr="0057205A">
        <w:rPr>
          <w:color w:val="000000" w:themeColor="text1"/>
        </w:rPr>
        <w:t xml:space="preserve">donc </w:t>
      </w:r>
      <w:r w:rsidR="00C05A7C" w:rsidRPr="0057205A">
        <w:rPr>
          <w:color w:val="000000" w:themeColor="text1"/>
        </w:rPr>
        <w:t>toutes les déclarations quelques</w:t>
      </w:r>
      <w:r w:rsidR="002C2966" w:rsidRPr="0057205A">
        <w:rPr>
          <w:color w:val="000000" w:themeColor="text1"/>
        </w:rPr>
        <w:t xml:space="preserve"> soient leur gravit</w:t>
      </w:r>
      <w:r w:rsidR="00900ABC" w:rsidRPr="0057205A">
        <w:rPr>
          <w:color w:val="000000" w:themeColor="text1"/>
        </w:rPr>
        <w:t>é</w:t>
      </w:r>
      <w:r w:rsidR="00D0398F" w:rsidRPr="0057205A">
        <w:rPr>
          <w:color w:val="000000" w:themeColor="text1"/>
        </w:rPr>
        <w:t xml:space="preserve"> y compris d</w:t>
      </w:r>
      <w:r w:rsidRPr="0057205A">
        <w:rPr>
          <w:color w:val="000000" w:themeColor="text1"/>
        </w:rPr>
        <w:t>es incidents impliquant ou susceptibles d'impliquer la sécurité d'au moins un autre receveur</w:t>
      </w:r>
      <w:r w:rsidRPr="0057205A">
        <w:rPr>
          <w:color w:val="000000" w:themeColor="text1"/>
          <w:u w:color="FF0000"/>
        </w:rPr>
        <w:t>, ainsi que les incidents susceptibles d'être liés au matériel transfusionnel (y compris les poches de sang)</w:t>
      </w:r>
      <w:r w:rsidR="00C05A7C" w:rsidRPr="0057205A">
        <w:rPr>
          <w:strike/>
          <w:color w:val="000000" w:themeColor="text1"/>
          <w:u w:color="FF0000"/>
        </w:rPr>
        <w:t>.</w:t>
      </w:r>
    </w:p>
    <w:p w14:paraId="30A99AA2" w14:textId="77777777" w:rsidR="00334165" w:rsidRPr="0057205A" w:rsidRDefault="00334165" w:rsidP="0057205A">
      <w:pPr>
        <w:pStyle w:val="Body"/>
        <w:spacing w:before="100" w:after="100"/>
        <w:jc w:val="both"/>
        <w:rPr>
          <w:color w:val="000000" w:themeColor="text1"/>
          <w:u w:color="FF0000"/>
        </w:rPr>
      </w:pPr>
    </w:p>
    <w:p w14:paraId="759E0D38" w14:textId="77777777" w:rsidR="000430F1" w:rsidRPr="0057205A" w:rsidRDefault="000E3D0B" w:rsidP="0057205A">
      <w:pPr>
        <w:pStyle w:val="Body"/>
        <w:spacing w:before="100" w:after="100"/>
        <w:jc w:val="both"/>
        <w:rPr>
          <w:rFonts w:eastAsia="Times New Roman Bold"/>
          <w:b/>
          <w:bCs/>
          <w:i/>
          <w:iCs/>
          <w:color w:val="000000" w:themeColor="text1"/>
        </w:rPr>
      </w:pPr>
      <w:r w:rsidRPr="0057205A">
        <w:rPr>
          <w:b/>
          <w:bCs/>
          <w:i/>
          <w:iCs/>
          <w:color w:val="000000" w:themeColor="text1"/>
        </w:rPr>
        <w:t>5</w:t>
      </w:r>
      <w:r w:rsidR="00ED5F28" w:rsidRPr="0057205A">
        <w:rPr>
          <w:b/>
          <w:bCs/>
          <w:i/>
          <w:iCs/>
          <w:color w:val="000000" w:themeColor="text1"/>
        </w:rPr>
        <w:t xml:space="preserve">. Devenir des </w:t>
      </w:r>
      <w:r w:rsidR="00C6631C" w:rsidRPr="0057205A">
        <w:rPr>
          <w:b/>
          <w:bCs/>
          <w:i/>
          <w:iCs/>
          <w:color w:val="000000" w:themeColor="text1"/>
        </w:rPr>
        <w:t xml:space="preserve">déclarations documentaires et électronique </w:t>
      </w:r>
    </w:p>
    <w:p w14:paraId="4B6E0B6A" w14:textId="51CF11F3" w:rsidR="000430F1" w:rsidRPr="0057205A" w:rsidRDefault="00ED5F28" w:rsidP="0057205A">
      <w:pPr>
        <w:pStyle w:val="Body"/>
        <w:spacing w:before="100" w:after="100"/>
        <w:jc w:val="both"/>
        <w:rPr>
          <w:rFonts w:eastAsia="Times New Roman"/>
          <w:color w:val="000000" w:themeColor="text1"/>
        </w:rPr>
      </w:pPr>
      <w:r w:rsidRPr="0057205A">
        <w:rPr>
          <w:color w:val="000000" w:themeColor="text1"/>
        </w:rPr>
        <w:t xml:space="preserve">Les fiches d'incident transfusionnel </w:t>
      </w:r>
      <w:r w:rsidR="00C05A7C" w:rsidRPr="0057205A">
        <w:rPr>
          <w:color w:val="000000" w:themeColor="text1"/>
        </w:rPr>
        <w:t xml:space="preserve">(FIT) </w:t>
      </w:r>
      <w:r w:rsidRPr="0057205A">
        <w:rPr>
          <w:color w:val="000000" w:themeColor="text1"/>
        </w:rPr>
        <w:t xml:space="preserve">sont conservées, sous forme automatisée ou manuelle, conformément à la législation en </w:t>
      </w:r>
      <w:r w:rsidR="009A5A13" w:rsidRPr="0057205A">
        <w:rPr>
          <w:color w:val="000000" w:themeColor="text1"/>
        </w:rPr>
        <w:t>vigueur :</w:t>
      </w:r>
      <w:r w:rsidRPr="0057205A">
        <w:rPr>
          <w:color w:val="000000" w:themeColor="text1"/>
        </w:rPr>
        <w:t xml:space="preserve"> </w:t>
      </w:r>
    </w:p>
    <w:p w14:paraId="57B8B4E7" w14:textId="6A5C8CFB" w:rsidR="000430F1" w:rsidRPr="0057205A" w:rsidRDefault="009A5A13" w:rsidP="0057205A">
      <w:pPr>
        <w:pStyle w:val="Body"/>
        <w:numPr>
          <w:ilvl w:val="0"/>
          <w:numId w:val="23"/>
        </w:numPr>
        <w:spacing w:after="0"/>
        <w:jc w:val="both"/>
        <w:rPr>
          <w:rFonts w:eastAsia="Times New Roman"/>
          <w:color w:val="000000" w:themeColor="text1"/>
        </w:rPr>
      </w:pPr>
      <w:r w:rsidRPr="0057205A">
        <w:rPr>
          <w:color w:val="000000" w:themeColor="text1"/>
        </w:rPr>
        <w:t>Au</w:t>
      </w:r>
      <w:r w:rsidR="00ED5F28" w:rsidRPr="0057205A">
        <w:rPr>
          <w:color w:val="000000" w:themeColor="text1"/>
        </w:rPr>
        <w:t xml:space="preserve"> sein du dossier médical du patient transfusé</w:t>
      </w:r>
    </w:p>
    <w:p w14:paraId="6400E220" w14:textId="189D41A3" w:rsidR="00C2318C" w:rsidRPr="0057205A" w:rsidRDefault="009A5A13" w:rsidP="0057205A">
      <w:pPr>
        <w:pStyle w:val="Body"/>
        <w:numPr>
          <w:ilvl w:val="0"/>
          <w:numId w:val="23"/>
        </w:numPr>
        <w:spacing w:after="0"/>
        <w:jc w:val="both"/>
        <w:rPr>
          <w:color w:val="000000" w:themeColor="text1"/>
          <w:u w:color="FF0000"/>
        </w:rPr>
      </w:pPr>
      <w:r w:rsidRPr="0057205A">
        <w:rPr>
          <w:color w:val="000000" w:themeColor="text1"/>
        </w:rPr>
        <w:t>Par</w:t>
      </w:r>
      <w:r w:rsidR="00ED5F28" w:rsidRPr="0057205A">
        <w:rPr>
          <w:color w:val="000000" w:themeColor="text1"/>
        </w:rPr>
        <w:t xml:space="preserve"> le </w:t>
      </w:r>
      <w:r w:rsidR="00ED5F28" w:rsidRPr="0057205A">
        <w:rPr>
          <w:color w:val="000000" w:themeColor="text1"/>
          <w:u w:color="FF0000"/>
        </w:rPr>
        <w:t>CHES</w:t>
      </w:r>
      <w:r w:rsidR="00C2318C" w:rsidRPr="0057205A">
        <w:rPr>
          <w:color w:val="000000" w:themeColor="text1"/>
          <w:u w:color="FF0000"/>
        </w:rPr>
        <w:t xml:space="preserve"> (CSTH)/</w:t>
      </w:r>
      <w:r w:rsidR="0056699D" w:rsidRPr="0057205A">
        <w:rPr>
          <w:color w:val="000000" w:themeColor="text1"/>
        </w:rPr>
        <w:t xml:space="preserve"> centre de transfusion sanguine référents</w:t>
      </w:r>
      <w:r w:rsidR="00C2318C" w:rsidRPr="0057205A">
        <w:rPr>
          <w:color w:val="000000" w:themeColor="text1"/>
          <w:u w:color="FF0000"/>
        </w:rPr>
        <w:t xml:space="preserve"> si nécessaire </w:t>
      </w:r>
    </w:p>
    <w:p w14:paraId="10EFC829" w14:textId="77777777" w:rsidR="00D0398F" w:rsidRPr="0057205A" w:rsidRDefault="00D0398F" w:rsidP="0057205A">
      <w:pPr>
        <w:pStyle w:val="Body"/>
        <w:spacing w:after="0"/>
        <w:jc w:val="both"/>
        <w:rPr>
          <w:color w:val="000000" w:themeColor="text1"/>
          <w:u w:color="FF0000"/>
        </w:rPr>
      </w:pPr>
    </w:p>
    <w:p w14:paraId="59DE7AE6" w14:textId="77777777" w:rsidR="00237AF3" w:rsidRPr="0057205A" w:rsidRDefault="00237AF3" w:rsidP="0057205A">
      <w:pPr>
        <w:pStyle w:val="Body"/>
        <w:spacing w:before="100" w:after="100"/>
        <w:jc w:val="both"/>
        <w:rPr>
          <w:color w:val="000000" w:themeColor="text1"/>
        </w:rPr>
      </w:pPr>
      <w:r w:rsidRPr="0057205A">
        <w:rPr>
          <w:color w:val="000000" w:themeColor="text1"/>
        </w:rPr>
        <w:t>La FIT constitue le document de référence interne à l’ES qui comprend tous les éléments de l’enquête et qui peut être consulté en cas de besoin.</w:t>
      </w:r>
    </w:p>
    <w:p w14:paraId="471DB7A0" w14:textId="77777777" w:rsidR="00237AF3" w:rsidRPr="0057205A" w:rsidRDefault="00237AF3" w:rsidP="0057205A">
      <w:pPr>
        <w:pStyle w:val="Body"/>
        <w:spacing w:after="0"/>
        <w:jc w:val="both"/>
        <w:rPr>
          <w:color w:val="000000" w:themeColor="text1"/>
          <w:u w:color="FF0000"/>
        </w:rPr>
      </w:pPr>
      <w:r w:rsidRPr="0057205A">
        <w:rPr>
          <w:color w:val="000000" w:themeColor="text1"/>
          <w:u w:color="FF0000"/>
        </w:rPr>
        <w:t>Les déclarations électroniques sur la plateforme sont consultables en permanence par le déclarant. Une synthèse statistique est émise annuellement et consultable nominativement par chaque centre.</w:t>
      </w:r>
    </w:p>
    <w:p w14:paraId="3D5A16A7" w14:textId="77777777" w:rsidR="00C2318C" w:rsidRPr="0057205A" w:rsidRDefault="00C2318C" w:rsidP="0057205A">
      <w:pPr>
        <w:pStyle w:val="Body"/>
        <w:spacing w:before="100" w:after="100"/>
        <w:jc w:val="both"/>
        <w:rPr>
          <w:rFonts w:eastAsia="Times New Roman"/>
          <w:color w:val="000000" w:themeColor="text1"/>
        </w:rPr>
      </w:pPr>
    </w:p>
    <w:p w14:paraId="4423EB52" w14:textId="77777777" w:rsidR="000430F1" w:rsidRPr="0057205A" w:rsidRDefault="000E3D0B" w:rsidP="0057205A">
      <w:pPr>
        <w:pStyle w:val="Body"/>
        <w:spacing w:before="100" w:after="100"/>
        <w:jc w:val="both"/>
        <w:rPr>
          <w:rFonts w:eastAsia="Times New Roman Bold"/>
          <w:b/>
          <w:bCs/>
          <w:i/>
          <w:iCs/>
          <w:color w:val="000000" w:themeColor="text1"/>
        </w:rPr>
      </w:pPr>
      <w:r w:rsidRPr="0057205A">
        <w:rPr>
          <w:b/>
          <w:bCs/>
          <w:i/>
          <w:iCs/>
          <w:color w:val="000000" w:themeColor="text1"/>
        </w:rPr>
        <w:t>6</w:t>
      </w:r>
      <w:r w:rsidR="00ED5F28" w:rsidRPr="0057205A">
        <w:rPr>
          <w:b/>
          <w:bCs/>
          <w:i/>
          <w:iCs/>
          <w:color w:val="000000" w:themeColor="text1"/>
        </w:rPr>
        <w:t xml:space="preserve">. Mise en œuvre de </w:t>
      </w:r>
      <w:r w:rsidR="007A5F9D" w:rsidRPr="0057205A">
        <w:rPr>
          <w:b/>
          <w:bCs/>
          <w:i/>
          <w:iCs/>
          <w:color w:val="000000" w:themeColor="text1"/>
        </w:rPr>
        <w:t>la procédure de déclaration</w:t>
      </w:r>
      <w:r w:rsidR="00ED5F28" w:rsidRPr="0057205A">
        <w:rPr>
          <w:b/>
          <w:bCs/>
          <w:i/>
          <w:iCs/>
          <w:color w:val="000000" w:themeColor="text1"/>
        </w:rPr>
        <w:t xml:space="preserve"> </w:t>
      </w:r>
    </w:p>
    <w:p w14:paraId="31077CC9" w14:textId="77777777" w:rsidR="000430F1" w:rsidRPr="0057205A" w:rsidRDefault="00ED5F28" w:rsidP="0057205A">
      <w:pPr>
        <w:pStyle w:val="Body"/>
        <w:spacing w:before="100" w:after="100"/>
        <w:jc w:val="both"/>
        <w:rPr>
          <w:rFonts w:eastAsia="Times New Roman"/>
          <w:color w:val="000000" w:themeColor="text1"/>
        </w:rPr>
      </w:pPr>
      <w:r w:rsidRPr="0057205A">
        <w:rPr>
          <w:color w:val="000000" w:themeColor="text1"/>
        </w:rPr>
        <w:t xml:space="preserve">Afin d'organiser les modalités d’HV, il appartient à la direction de chaque établissement de réunir les principaux praticiens et membres du personnel soignant concernés avec le </w:t>
      </w:r>
      <w:r w:rsidR="000E4C2B" w:rsidRPr="0057205A">
        <w:rPr>
          <w:color w:val="000000" w:themeColor="text1"/>
        </w:rPr>
        <w:t>CSTH pour</w:t>
      </w:r>
      <w:r w:rsidRPr="0057205A">
        <w:rPr>
          <w:color w:val="000000" w:themeColor="text1"/>
        </w:rPr>
        <w:t xml:space="preserve"> veiller à la mise en œuvre des règles et procédures d'HV et coordonner les actions d'HV au sein de l'établissement.</w:t>
      </w:r>
    </w:p>
    <w:p w14:paraId="074AF640" w14:textId="77777777" w:rsidR="000430F1" w:rsidRPr="0057205A" w:rsidRDefault="000430F1" w:rsidP="0057205A">
      <w:pPr>
        <w:pStyle w:val="Body"/>
        <w:spacing w:before="100" w:after="100"/>
        <w:jc w:val="both"/>
        <w:rPr>
          <w:rFonts w:eastAsia="Times New Roman Bold"/>
          <w:color w:val="000000" w:themeColor="text1"/>
          <w:sz w:val="24"/>
          <w:szCs w:val="24"/>
        </w:rPr>
      </w:pPr>
    </w:p>
    <w:p w14:paraId="61D5B6CF" w14:textId="77777777" w:rsidR="000430F1" w:rsidRPr="0057205A" w:rsidRDefault="000430F1" w:rsidP="0057205A">
      <w:pPr>
        <w:pStyle w:val="Body"/>
        <w:spacing w:before="100" w:after="100"/>
        <w:jc w:val="both"/>
        <w:rPr>
          <w:rFonts w:eastAsia="Times New Roman Bold"/>
          <w:color w:val="000000" w:themeColor="text1"/>
          <w:sz w:val="24"/>
          <w:szCs w:val="24"/>
        </w:rPr>
      </w:pPr>
    </w:p>
    <w:p w14:paraId="39040DEC" w14:textId="53D8D6D9" w:rsidR="000430F1" w:rsidRPr="0057205A" w:rsidRDefault="000430F1" w:rsidP="0057205A">
      <w:pPr>
        <w:pStyle w:val="Body"/>
        <w:jc w:val="both"/>
        <w:rPr>
          <w:color w:val="000000" w:themeColor="text1"/>
        </w:rPr>
      </w:pPr>
    </w:p>
    <w:p w14:paraId="6B96E39C" w14:textId="77777777" w:rsidR="000430F1" w:rsidRPr="0057205A" w:rsidRDefault="00ED5F28" w:rsidP="0057205A">
      <w:pPr>
        <w:pStyle w:val="Heading1"/>
        <w:spacing w:line="276" w:lineRule="auto"/>
        <w:rPr>
          <w:rFonts w:ascii="Calibri" w:hAnsi="Calibri" w:cs="Calibri"/>
          <w:b/>
          <w:bCs/>
          <w:color w:val="C00000"/>
          <w:sz w:val="16"/>
          <w:szCs w:val="16"/>
          <w:lang w:val="fr-FR"/>
        </w:rPr>
      </w:pPr>
      <w:bookmarkStart w:id="21" w:name="_Toc122019061"/>
      <w:r w:rsidRPr="0057205A">
        <w:rPr>
          <w:rFonts w:ascii="Calibri" w:hAnsi="Calibri" w:cs="Calibri"/>
          <w:b/>
          <w:bCs/>
          <w:color w:val="C00000"/>
          <w:sz w:val="28"/>
          <w:szCs w:val="28"/>
          <w:shd w:val="clear" w:color="auto" w:fill="C0C0C0"/>
          <w:lang w:val="fr-FR"/>
        </w:rPr>
        <w:lastRenderedPageBreak/>
        <w:t>Annexe V</w:t>
      </w:r>
      <w:r w:rsidR="00317E13" w:rsidRPr="0057205A">
        <w:rPr>
          <w:rFonts w:ascii="Calibri" w:hAnsi="Calibri" w:cs="Calibri"/>
          <w:b/>
          <w:bCs/>
          <w:color w:val="C00000"/>
          <w:sz w:val="28"/>
          <w:szCs w:val="28"/>
          <w:shd w:val="clear" w:color="auto" w:fill="C0C0C0"/>
          <w:lang w:val="fr-FR"/>
        </w:rPr>
        <w:t xml:space="preserve"> </w:t>
      </w:r>
      <w:r w:rsidRPr="0057205A">
        <w:rPr>
          <w:rFonts w:ascii="Calibri" w:hAnsi="Calibri" w:cs="Calibri"/>
          <w:b/>
          <w:bCs/>
          <w:color w:val="C00000"/>
          <w:sz w:val="28"/>
          <w:szCs w:val="28"/>
          <w:shd w:val="clear" w:color="auto" w:fill="C0C0C0"/>
          <w:lang w:val="fr-FR"/>
        </w:rPr>
        <w:t xml:space="preserve">: </w:t>
      </w:r>
      <w:r w:rsidR="00444341" w:rsidRPr="0057205A">
        <w:rPr>
          <w:rFonts w:ascii="Calibri" w:hAnsi="Calibri" w:cs="Calibri"/>
          <w:b/>
          <w:bCs/>
          <w:color w:val="C00000"/>
          <w:sz w:val="28"/>
          <w:szCs w:val="28"/>
          <w:lang w:val="fr-FR"/>
        </w:rPr>
        <w:t>CONTENU ET</w:t>
      </w:r>
      <w:r w:rsidRPr="0057205A">
        <w:rPr>
          <w:rFonts w:ascii="Calibri" w:hAnsi="Calibri" w:cs="Calibri"/>
          <w:b/>
          <w:bCs/>
          <w:color w:val="C00000"/>
          <w:sz w:val="28"/>
          <w:szCs w:val="28"/>
          <w:lang w:val="fr-FR"/>
        </w:rPr>
        <w:t xml:space="preserve"> MODALITÉS DE TRANSMISSION DE LA FICHE DE DÉCLARATION D'EFFET INDÉSIRABLE GRAVE DONNEUR</w:t>
      </w:r>
      <w:bookmarkEnd w:id="21"/>
    </w:p>
    <w:p w14:paraId="16A6BF73" w14:textId="77777777" w:rsidR="004A3EC3" w:rsidRPr="0057205A" w:rsidRDefault="004A3EC3" w:rsidP="0057205A">
      <w:pPr>
        <w:pStyle w:val="Body"/>
        <w:spacing w:before="100" w:after="100"/>
        <w:jc w:val="both"/>
        <w:rPr>
          <w:sz w:val="20"/>
          <w:szCs w:val="20"/>
        </w:rPr>
      </w:pPr>
    </w:p>
    <w:p w14:paraId="160B6849" w14:textId="77777777" w:rsidR="004A3EC3" w:rsidRPr="0057205A" w:rsidRDefault="004A3EC3" w:rsidP="0057205A">
      <w:pPr>
        <w:pStyle w:val="Body"/>
        <w:numPr>
          <w:ilvl w:val="6"/>
          <w:numId w:val="4"/>
        </w:numPr>
        <w:tabs>
          <w:tab w:val="clear" w:pos="4980"/>
          <w:tab w:val="left" w:pos="142"/>
          <w:tab w:val="left" w:pos="284"/>
        </w:tabs>
        <w:spacing w:before="100" w:after="100"/>
        <w:ind w:left="142" w:hanging="142"/>
        <w:jc w:val="both"/>
        <w:rPr>
          <w:b/>
          <w:bCs/>
          <w:i/>
          <w:iCs/>
        </w:rPr>
      </w:pPr>
      <w:r w:rsidRPr="0057205A">
        <w:rPr>
          <w:b/>
          <w:bCs/>
          <w:i/>
          <w:iCs/>
        </w:rPr>
        <w:t>G</w:t>
      </w:r>
      <w:r w:rsidRPr="0057205A">
        <w:rPr>
          <w:i/>
          <w:iCs/>
        </w:rPr>
        <w:t>é</w:t>
      </w:r>
      <w:r w:rsidRPr="0057205A">
        <w:rPr>
          <w:b/>
          <w:bCs/>
          <w:i/>
          <w:iCs/>
        </w:rPr>
        <w:t>n</w:t>
      </w:r>
      <w:r w:rsidRPr="0057205A">
        <w:rPr>
          <w:i/>
          <w:iCs/>
        </w:rPr>
        <w:t>é</w:t>
      </w:r>
      <w:r w:rsidRPr="0057205A">
        <w:rPr>
          <w:b/>
          <w:bCs/>
          <w:i/>
          <w:iCs/>
        </w:rPr>
        <w:t>ralit</w:t>
      </w:r>
      <w:r w:rsidRPr="0057205A">
        <w:rPr>
          <w:i/>
          <w:iCs/>
        </w:rPr>
        <w:t>é</w:t>
      </w:r>
      <w:r w:rsidRPr="0057205A">
        <w:rPr>
          <w:b/>
          <w:bCs/>
          <w:i/>
          <w:iCs/>
        </w:rPr>
        <w:t xml:space="preserve">s  </w:t>
      </w:r>
    </w:p>
    <w:p w14:paraId="4EAC7343" w14:textId="77777777" w:rsidR="000430F1" w:rsidRPr="0057205A" w:rsidRDefault="00ED5F28" w:rsidP="0057205A">
      <w:pPr>
        <w:pStyle w:val="Body"/>
        <w:spacing w:before="100" w:after="100"/>
        <w:jc w:val="both"/>
      </w:pPr>
      <w:r w:rsidRPr="0057205A">
        <w:t xml:space="preserve">Un effet indésirable </w:t>
      </w:r>
      <w:r w:rsidR="00F85DFC" w:rsidRPr="0057205A">
        <w:t xml:space="preserve">grave </w:t>
      </w:r>
      <w:r w:rsidRPr="0057205A">
        <w:t xml:space="preserve">chez un donneur de sang est </w:t>
      </w:r>
      <w:r w:rsidR="00F85DFC" w:rsidRPr="0057205A">
        <w:t>« un incident lié ou susceptible d'être lié</w:t>
      </w:r>
      <w:r w:rsidRPr="0057205A">
        <w:t xml:space="preserve"> au prélèvement de sang entraînant la mort ou mettant la vie en danger, entraînant une invalidité ou une incapacité, ou provoquant une hospitalisation ou tout autre état morbide nécessitant une prescrip</w:t>
      </w:r>
      <w:r w:rsidR="00F85DFC" w:rsidRPr="0057205A">
        <w:t>tion de consultation extérieure »</w:t>
      </w:r>
      <w:r w:rsidR="00D26E53" w:rsidRPr="0057205A">
        <w:t>.</w:t>
      </w:r>
    </w:p>
    <w:p w14:paraId="48CEBAC4" w14:textId="77777777" w:rsidR="00F85DFC" w:rsidRPr="0057205A" w:rsidRDefault="00F85DFC" w:rsidP="0057205A">
      <w:pPr>
        <w:pStyle w:val="Body"/>
        <w:spacing w:before="100" w:after="100"/>
        <w:jc w:val="both"/>
        <w:rPr>
          <w:rFonts w:eastAsia="Times New Roman"/>
          <w:strike/>
        </w:rPr>
      </w:pPr>
      <w:r w:rsidRPr="0057205A">
        <w:t xml:space="preserve">Le correspondant </w:t>
      </w:r>
      <w:r w:rsidR="00D26E53" w:rsidRPr="0057205A">
        <w:t>rattaché</w:t>
      </w:r>
      <w:r w:rsidRPr="0057205A">
        <w:t xml:space="preserve"> </w:t>
      </w:r>
      <w:r w:rsidR="00D26E53" w:rsidRPr="0057205A">
        <w:t xml:space="preserve">au </w:t>
      </w:r>
      <w:r w:rsidRPr="0057205A">
        <w:t xml:space="preserve">CTSD dans lequel a eu lieu l’effet indésirable grave chez le Donneur procède aux </w:t>
      </w:r>
      <w:r w:rsidRPr="0057205A">
        <w:rPr>
          <w:color w:val="auto"/>
        </w:rPr>
        <w:t>investigations et examens appropriés. Il rédige une Fiche d’incident grave chez le Donneur (F</w:t>
      </w:r>
      <w:r w:rsidR="007D405D" w:rsidRPr="0057205A">
        <w:rPr>
          <w:color w:val="auto"/>
        </w:rPr>
        <w:t>E</w:t>
      </w:r>
      <w:r w:rsidRPr="0057205A">
        <w:rPr>
          <w:color w:val="auto"/>
        </w:rPr>
        <w:t>IGD</w:t>
      </w:r>
      <w:r w:rsidR="00B65E37" w:rsidRPr="0057205A">
        <w:rPr>
          <w:color w:val="auto"/>
        </w:rPr>
        <w:t>.</w:t>
      </w:r>
    </w:p>
    <w:p w14:paraId="3DDFBA7C" w14:textId="77777777" w:rsidR="000430F1" w:rsidRPr="0057205A" w:rsidRDefault="00ED5F28" w:rsidP="0057205A">
      <w:pPr>
        <w:pStyle w:val="Body"/>
        <w:spacing w:before="100" w:after="100"/>
        <w:jc w:val="both"/>
      </w:pPr>
      <w:r w:rsidRPr="0057205A">
        <w:t>La survenue d'un effet indésirable grave peut conduire à évaluer l'organisation et le fonctionnement de la collecte de sang et de composants sanguins et plus largement la sécurité au cours des différentes étapes de la chaîne transfusionnelle pouvant présenter des conséquences sur le donneur.</w:t>
      </w:r>
    </w:p>
    <w:p w14:paraId="4B01F340" w14:textId="77777777" w:rsidR="00F85DFC" w:rsidRPr="0057205A" w:rsidRDefault="00F85DFC" w:rsidP="0057205A">
      <w:pPr>
        <w:pStyle w:val="Body"/>
        <w:spacing w:before="100" w:after="100"/>
        <w:jc w:val="both"/>
        <w:rPr>
          <w:rFonts w:eastAsia="Times New Roman"/>
        </w:rPr>
      </w:pPr>
    </w:p>
    <w:p w14:paraId="24DDADAD" w14:textId="77777777" w:rsidR="00F85DFC" w:rsidRPr="0057205A" w:rsidRDefault="0056641E" w:rsidP="0057205A">
      <w:pPr>
        <w:pStyle w:val="Body"/>
        <w:spacing w:after="100"/>
        <w:jc w:val="both"/>
        <w:rPr>
          <w:b/>
          <w:bCs/>
          <w:i/>
          <w:iCs/>
        </w:rPr>
      </w:pPr>
      <w:r w:rsidRPr="0057205A">
        <w:rPr>
          <w:b/>
          <w:bCs/>
          <w:i/>
          <w:iCs/>
        </w:rPr>
        <w:t>2</w:t>
      </w:r>
      <w:r w:rsidR="00ED5F28" w:rsidRPr="0057205A">
        <w:rPr>
          <w:b/>
          <w:bCs/>
          <w:i/>
          <w:iCs/>
        </w:rPr>
        <w:t xml:space="preserve">. Contenu de la fiche </w:t>
      </w:r>
    </w:p>
    <w:p w14:paraId="675C8E00" w14:textId="77777777" w:rsidR="00CC2A04" w:rsidRPr="0057205A" w:rsidRDefault="00ED5F28" w:rsidP="0057205A">
      <w:pPr>
        <w:spacing w:after="100" w:afterAutospacing="1" w:line="276" w:lineRule="auto"/>
        <w:jc w:val="both"/>
        <w:rPr>
          <w:rFonts w:ascii="Calibri" w:hAnsi="Calibri" w:cs="Calibri"/>
          <w:sz w:val="22"/>
          <w:szCs w:val="22"/>
          <w:lang w:val="fr-FR"/>
        </w:rPr>
      </w:pPr>
      <w:r w:rsidRPr="0057205A">
        <w:rPr>
          <w:rFonts w:ascii="Calibri" w:hAnsi="Calibri" w:cs="Calibri"/>
          <w:sz w:val="22"/>
          <w:szCs w:val="22"/>
          <w:lang w:val="fr-FR"/>
        </w:rPr>
        <w:t xml:space="preserve">La rédaction de </w:t>
      </w:r>
      <w:r w:rsidR="009E63E5" w:rsidRPr="0057205A">
        <w:rPr>
          <w:rFonts w:ascii="Calibri" w:hAnsi="Calibri" w:cs="Calibri"/>
          <w:sz w:val="22"/>
          <w:szCs w:val="22"/>
          <w:lang w:val="fr-FR"/>
        </w:rPr>
        <w:t>la</w:t>
      </w:r>
      <w:r w:rsidR="00082F0E" w:rsidRPr="0057205A">
        <w:rPr>
          <w:rFonts w:ascii="Calibri" w:hAnsi="Calibri" w:cs="Calibri"/>
          <w:sz w:val="22"/>
          <w:szCs w:val="22"/>
          <w:lang w:val="fr-FR"/>
        </w:rPr>
        <w:t xml:space="preserve"> F</w:t>
      </w:r>
      <w:r w:rsidR="007D405D" w:rsidRPr="0057205A">
        <w:rPr>
          <w:rFonts w:ascii="Calibri" w:hAnsi="Calibri" w:cs="Calibri"/>
          <w:sz w:val="22"/>
          <w:szCs w:val="22"/>
          <w:lang w:val="fr-FR"/>
        </w:rPr>
        <w:t>E</w:t>
      </w:r>
      <w:r w:rsidR="00082F0E" w:rsidRPr="0057205A">
        <w:rPr>
          <w:rFonts w:ascii="Calibri" w:hAnsi="Calibri" w:cs="Calibri"/>
          <w:sz w:val="22"/>
          <w:szCs w:val="22"/>
          <w:lang w:val="fr-FR"/>
        </w:rPr>
        <w:t>IGD</w:t>
      </w:r>
      <w:r w:rsidRPr="0057205A">
        <w:rPr>
          <w:rFonts w:ascii="Calibri" w:hAnsi="Calibri" w:cs="Calibri"/>
          <w:sz w:val="22"/>
          <w:szCs w:val="22"/>
          <w:lang w:val="fr-FR"/>
        </w:rPr>
        <w:t xml:space="preserve"> est </w:t>
      </w:r>
      <w:r w:rsidRPr="0057205A">
        <w:rPr>
          <w:rFonts w:ascii="Calibri" w:hAnsi="Calibri" w:cs="Calibri"/>
          <w:b/>
          <w:bCs/>
          <w:sz w:val="22"/>
          <w:szCs w:val="22"/>
          <w:lang w:val="fr-FR"/>
        </w:rPr>
        <w:t>obligatoire</w:t>
      </w:r>
      <w:r w:rsidRPr="0057205A">
        <w:rPr>
          <w:rFonts w:ascii="Calibri" w:hAnsi="Calibri" w:cs="Calibri"/>
          <w:sz w:val="22"/>
          <w:szCs w:val="22"/>
          <w:lang w:val="fr-FR"/>
        </w:rPr>
        <w:t xml:space="preserve"> </w:t>
      </w:r>
      <w:r w:rsidRPr="0057205A">
        <w:rPr>
          <w:rFonts w:ascii="Calibri" w:hAnsi="Calibri" w:cs="Calibri"/>
          <w:b/>
          <w:bCs/>
          <w:sz w:val="22"/>
          <w:szCs w:val="22"/>
          <w:lang w:val="fr-FR"/>
        </w:rPr>
        <w:t>pour les effets indésirables graves</w:t>
      </w:r>
      <w:r w:rsidRPr="0057205A">
        <w:rPr>
          <w:rFonts w:ascii="Calibri" w:hAnsi="Calibri" w:cs="Calibri"/>
          <w:sz w:val="22"/>
          <w:szCs w:val="22"/>
          <w:lang w:val="fr-FR"/>
        </w:rPr>
        <w:t xml:space="preserve"> tels que définis au paragraphe précédent survenus chez un donneur au cours du processus de </w:t>
      </w:r>
      <w:r w:rsidR="00D26E53" w:rsidRPr="0057205A">
        <w:rPr>
          <w:rFonts w:ascii="Calibri" w:hAnsi="Calibri" w:cs="Calibri"/>
          <w:sz w:val="22"/>
          <w:szCs w:val="22"/>
          <w:lang w:val="fr-FR"/>
        </w:rPr>
        <w:t>D</w:t>
      </w:r>
      <w:r w:rsidRPr="0057205A">
        <w:rPr>
          <w:rFonts w:ascii="Calibri" w:hAnsi="Calibri" w:cs="Calibri"/>
          <w:sz w:val="22"/>
          <w:szCs w:val="22"/>
          <w:lang w:val="fr-FR"/>
        </w:rPr>
        <w:t xml:space="preserve">on de sang. </w:t>
      </w:r>
      <w:r w:rsidR="00CC2A04" w:rsidRPr="0057205A">
        <w:rPr>
          <w:rFonts w:ascii="Calibri" w:hAnsi="Calibri" w:cs="Calibri"/>
          <w:sz w:val="22"/>
          <w:szCs w:val="22"/>
          <w:lang w:val="fr-CA"/>
        </w:rPr>
        <w:t>Elle a pour objet le constat de l'effet indésirable grave et une analyse relative à son imputabilité, dans le but d'en connaître la cause et d’en prévenir la répétition.  La F</w:t>
      </w:r>
      <w:r w:rsidR="007D405D" w:rsidRPr="0057205A">
        <w:rPr>
          <w:rFonts w:ascii="Calibri" w:hAnsi="Calibri" w:cs="Calibri"/>
          <w:sz w:val="22"/>
          <w:szCs w:val="22"/>
          <w:lang w:val="fr-CA"/>
        </w:rPr>
        <w:t>E</w:t>
      </w:r>
      <w:r w:rsidR="00CC2A04" w:rsidRPr="0057205A">
        <w:rPr>
          <w:rFonts w:ascii="Calibri" w:hAnsi="Calibri" w:cs="Calibri"/>
          <w:sz w:val="22"/>
          <w:szCs w:val="22"/>
          <w:lang w:val="fr-CA"/>
        </w:rPr>
        <w:t xml:space="preserve">IGD </w:t>
      </w:r>
      <w:r w:rsidR="00CC2A04" w:rsidRPr="0057205A">
        <w:rPr>
          <w:rFonts w:ascii="Calibri" w:hAnsi="Calibri" w:cs="Calibri"/>
          <w:sz w:val="22"/>
          <w:szCs w:val="22"/>
          <w:lang w:val="fr-FR"/>
        </w:rPr>
        <w:t xml:space="preserve">se réfère à la liste des évènements indésirables graves chez le Donneur pour la conclusion de l’enquête (Doc. Liste et codification des </w:t>
      </w:r>
      <w:r w:rsidR="007D405D" w:rsidRPr="0057205A">
        <w:rPr>
          <w:rFonts w:ascii="Calibri" w:hAnsi="Calibri" w:cs="Calibri"/>
          <w:sz w:val="22"/>
          <w:szCs w:val="22"/>
          <w:lang w:val="fr-FR"/>
        </w:rPr>
        <w:t>EIG</w:t>
      </w:r>
      <w:r w:rsidR="002F435E" w:rsidRPr="0057205A">
        <w:rPr>
          <w:rFonts w:ascii="Calibri" w:hAnsi="Calibri" w:cs="Calibri"/>
          <w:sz w:val="22"/>
          <w:szCs w:val="22"/>
          <w:lang w:val="fr-FR"/>
        </w:rPr>
        <w:t xml:space="preserve"> Donneur – LC</w:t>
      </w:r>
      <w:r w:rsidR="007D405D" w:rsidRPr="0057205A">
        <w:rPr>
          <w:rFonts w:ascii="Calibri" w:hAnsi="Calibri" w:cs="Calibri"/>
          <w:sz w:val="22"/>
          <w:szCs w:val="22"/>
          <w:lang w:val="fr-FR"/>
        </w:rPr>
        <w:t>E</w:t>
      </w:r>
      <w:r w:rsidR="002F435E" w:rsidRPr="0057205A">
        <w:rPr>
          <w:rFonts w:ascii="Calibri" w:hAnsi="Calibri" w:cs="Calibri"/>
          <w:sz w:val="22"/>
          <w:szCs w:val="22"/>
          <w:lang w:val="fr-FR"/>
        </w:rPr>
        <w:t>IGD)</w:t>
      </w:r>
      <w:r w:rsidR="00CC2A04" w:rsidRPr="0057205A">
        <w:rPr>
          <w:rFonts w:ascii="Calibri" w:hAnsi="Calibri" w:cs="Calibri"/>
          <w:sz w:val="22"/>
          <w:szCs w:val="22"/>
          <w:lang w:val="fr-FR"/>
        </w:rPr>
        <w:t>.</w:t>
      </w:r>
    </w:p>
    <w:p w14:paraId="4AD93FDD" w14:textId="5725FD52" w:rsidR="00CC2A04" w:rsidRPr="0057205A" w:rsidRDefault="00CC2A04" w:rsidP="0057205A">
      <w:pPr>
        <w:pStyle w:val="NormalWeb"/>
        <w:spacing w:before="0" w:after="0" w:line="276" w:lineRule="auto"/>
        <w:jc w:val="both"/>
        <w:rPr>
          <w:rFonts w:ascii="Calibri" w:hAnsi="Calibri" w:cs="Calibri"/>
          <w:sz w:val="22"/>
          <w:szCs w:val="22"/>
          <w:lang w:val="fr-FR"/>
        </w:rPr>
      </w:pPr>
      <w:r w:rsidRPr="0057205A">
        <w:rPr>
          <w:rFonts w:ascii="Calibri" w:hAnsi="Calibri" w:cs="Calibri"/>
          <w:sz w:val="22"/>
          <w:szCs w:val="22"/>
          <w:lang w:val="fr-FR"/>
        </w:rPr>
        <w:t>Les niveaux d’imputabilité sont classés selon les critères suivants :</w:t>
      </w:r>
    </w:p>
    <w:p w14:paraId="0B73EA30" w14:textId="77777777" w:rsidR="00CC2A04" w:rsidRPr="0057205A" w:rsidRDefault="00955737" w:rsidP="0057205A">
      <w:pPr>
        <w:pStyle w:val="NormalWeb"/>
        <w:numPr>
          <w:ilvl w:val="0"/>
          <w:numId w:val="27"/>
        </w:numPr>
        <w:spacing w:before="0" w:after="0" w:line="276" w:lineRule="auto"/>
        <w:jc w:val="both"/>
        <w:rPr>
          <w:rFonts w:ascii="Calibri" w:hAnsi="Calibri" w:cs="Calibri"/>
          <w:sz w:val="22"/>
          <w:szCs w:val="22"/>
          <w:lang w:val="fr-FR"/>
        </w:rPr>
      </w:pPr>
      <w:r w:rsidRPr="0057205A">
        <w:rPr>
          <w:rFonts w:ascii="Calibri" w:hAnsi="Calibri" w:cs="Calibri"/>
          <w:sz w:val="22"/>
          <w:szCs w:val="22"/>
          <w:lang w:val="fr-FR"/>
        </w:rPr>
        <w:t>Imputabilité 0 -</w:t>
      </w:r>
      <w:r w:rsidR="00CC2A04" w:rsidRPr="0057205A">
        <w:rPr>
          <w:rFonts w:ascii="Calibri" w:hAnsi="Calibri" w:cs="Calibri"/>
          <w:sz w:val="22"/>
          <w:szCs w:val="22"/>
          <w:lang w:val="fr-FR"/>
        </w:rPr>
        <w:t xml:space="preserve"> Exclue ou improbable : lorsque les éléments probants ne peuvent être mis en doute et permettent d'attribuer l'effet indésirable à d'autres causes que le don de sang ou de composants sanguins ou lorsque les éléments d'appréciation disponibles incitent clairement à attribuer l'effet indésirable à des causes autres que le don de</w:t>
      </w:r>
      <w:r w:rsidRPr="0057205A">
        <w:rPr>
          <w:rFonts w:ascii="Calibri" w:hAnsi="Calibri" w:cs="Calibri"/>
          <w:sz w:val="22"/>
          <w:szCs w:val="22"/>
          <w:lang w:val="fr-FR"/>
        </w:rPr>
        <w:t xml:space="preserve"> sang ou de composants sanguins</w:t>
      </w:r>
    </w:p>
    <w:p w14:paraId="78EBF24D" w14:textId="77777777" w:rsidR="00CC2A04" w:rsidRPr="0057205A" w:rsidRDefault="00955737" w:rsidP="0057205A">
      <w:pPr>
        <w:pStyle w:val="NormalWeb"/>
        <w:numPr>
          <w:ilvl w:val="0"/>
          <w:numId w:val="27"/>
        </w:numPr>
        <w:spacing w:before="0" w:after="0" w:line="276" w:lineRule="auto"/>
        <w:jc w:val="both"/>
        <w:rPr>
          <w:rFonts w:ascii="Calibri" w:hAnsi="Calibri" w:cs="Calibri"/>
          <w:sz w:val="22"/>
          <w:szCs w:val="22"/>
          <w:lang w:val="fr-FR"/>
        </w:rPr>
      </w:pPr>
      <w:r w:rsidRPr="0057205A">
        <w:rPr>
          <w:rFonts w:ascii="Calibri" w:hAnsi="Calibri" w:cs="Calibri"/>
          <w:sz w:val="22"/>
          <w:szCs w:val="22"/>
          <w:lang w:val="fr-FR"/>
        </w:rPr>
        <w:t>Imputabilité 1 -</w:t>
      </w:r>
      <w:r w:rsidR="00CC2A04" w:rsidRPr="0057205A">
        <w:rPr>
          <w:rFonts w:ascii="Calibri" w:hAnsi="Calibri" w:cs="Calibri"/>
          <w:sz w:val="22"/>
          <w:szCs w:val="22"/>
          <w:lang w:val="fr-FR"/>
        </w:rPr>
        <w:t xml:space="preserve"> Possible : lorsque les éléments d'appréciation disponibles ne permettent d'attribuer clairement l'effet indésirable ni au don de sang ou de composa</w:t>
      </w:r>
      <w:r w:rsidRPr="0057205A">
        <w:rPr>
          <w:rFonts w:ascii="Calibri" w:hAnsi="Calibri" w:cs="Calibri"/>
          <w:sz w:val="22"/>
          <w:szCs w:val="22"/>
          <w:lang w:val="fr-FR"/>
        </w:rPr>
        <w:t>nt sanguin ni à d'autres causes</w:t>
      </w:r>
    </w:p>
    <w:p w14:paraId="0EBB5D07" w14:textId="77777777" w:rsidR="00CC2A04" w:rsidRPr="0057205A" w:rsidRDefault="00955737" w:rsidP="0057205A">
      <w:pPr>
        <w:pStyle w:val="NormalWeb"/>
        <w:numPr>
          <w:ilvl w:val="0"/>
          <w:numId w:val="27"/>
        </w:numPr>
        <w:spacing w:before="0" w:after="0" w:line="276" w:lineRule="auto"/>
        <w:jc w:val="both"/>
        <w:rPr>
          <w:rFonts w:ascii="Calibri" w:hAnsi="Calibri" w:cs="Calibri"/>
          <w:sz w:val="22"/>
          <w:szCs w:val="22"/>
          <w:lang w:val="fr-FR"/>
        </w:rPr>
      </w:pPr>
      <w:r w:rsidRPr="0057205A">
        <w:rPr>
          <w:rFonts w:ascii="Calibri" w:hAnsi="Calibri" w:cs="Calibri"/>
          <w:sz w:val="22"/>
          <w:szCs w:val="22"/>
          <w:lang w:val="fr-FR"/>
        </w:rPr>
        <w:t>Imputabilité 2 -</w:t>
      </w:r>
      <w:r w:rsidR="00CC2A04" w:rsidRPr="0057205A">
        <w:rPr>
          <w:rFonts w:ascii="Calibri" w:hAnsi="Calibri" w:cs="Calibri"/>
          <w:sz w:val="22"/>
          <w:szCs w:val="22"/>
          <w:lang w:val="fr-FR"/>
        </w:rPr>
        <w:t xml:space="preserve"> Probable : lorsque les éléments d'appréciation disponibles incitent clairement à attribuer l'effet indésirable au don d</w:t>
      </w:r>
      <w:r w:rsidRPr="0057205A">
        <w:rPr>
          <w:rFonts w:ascii="Calibri" w:hAnsi="Calibri" w:cs="Calibri"/>
          <w:sz w:val="22"/>
          <w:szCs w:val="22"/>
          <w:lang w:val="fr-FR"/>
        </w:rPr>
        <w:t xml:space="preserve">e sang ou de composant sanguin </w:t>
      </w:r>
    </w:p>
    <w:p w14:paraId="44EC7C22" w14:textId="77777777" w:rsidR="00CC2A04" w:rsidRPr="0057205A" w:rsidRDefault="00955737" w:rsidP="0057205A">
      <w:pPr>
        <w:pStyle w:val="NormalWeb"/>
        <w:numPr>
          <w:ilvl w:val="0"/>
          <w:numId w:val="27"/>
        </w:numPr>
        <w:spacing w:before="0" w:after="0" w:line="276" w:lineRule="auto"/>
        <w:jc w:val="both"/>
        <w:rPr>
          <w:rFonts w:ascii="Calibri" w:hAnsi="Calibri" w:cs="Calibri"/>
          <w:sz w:val="22"/>
          <w:szCs w:val="22"/>
          <w:lang w:val="fr-FR"/>
        </w:rPr>
      </w:pPr>
      <w:r w:rsidRPr="0057205A">
        <w:rPr>
          <w:rFonts w:ascii="Calibri" w:hAnsi="Calibri" w:cs="Calibri"/>
          <w:sz w:val="22"/>
          <w:szCs w:val="22"/>
          <w:lang w:val="fr-FR"/>
        </w:rPr>
        <w:t>Imputabilité 3 -</w:t>
      </w:r>
      <w:r w:rsidR="00CC2A04" w:rsidRPr="0057205A">
        <w:rPr>
          <w:rFonts w:ascii="Calibri" w:hAnsi="Calibri" w:cs="Calibri"/>
          <w:sz w:val="22"/>
          <w:szCs w:val="22"/>
          <w:lang w:val="fr-FR"/>
        </w:rPr>
        <w:t xml:space="preserve"> Certaine : lorsque des éléments probants ne peuvent être mis en doute et permettent d'attribuer l'effet indésirable au don de sang ou de composant sanguin </w:t>
      </w:r>
    </w:p>
    <w:p w14:paraId="3F62ECBC" w14:textId="77777777" w:rsidR="00CC2A04" w:rsidRPr="0057205A" w:rsidRDefault="00955737" w:rsidP="0057205A">
      <w:pPr>
        <w:pStyle w:val="NormalWeb"/>
        <w:numPr>
          <w:ilvl w:val="0"/>
          <w:numId w:val="27"/>
        </w:numPr>
        <w:spacing w:before="0" w:after="0" w:line="276" w:lineRule="auto"/>
        <w:jc w:val="both"/>
        <w:rPr>
          <w:rFonts w:ascii="Calibri" w:hAnsi="Calibri" w:cs="Calibri"/>
          <w:sz w:val="22"/>
          <w:szCs w:val="22"/>
          <w:lang w:val="fr-FR"/>
        </w:rPr>
      </w:pPr>
      <w:r w:rsidRPr="0057205A">
        <w:rPr>
          <w:rFonts w:ascii="Calibri" w:hAnsi="Calibri" w:cs="Calibri"/>
          <w:sz w:val="22"/>
          <w:szCs w:val="22"/>
          <w:lang w:val="fr-FR"/>
        </w:rPr>
        <w:t>Imputabilité NE -</w:t>
      </w:r>
      <w:r w:rsidR="00CC2A04" w:rsidRPr="0057205A">
        <w:rPr>
          <w:rFonts w:ascii="Calibri" w:hAnsi="Calibri" w:cs="Calibri"/>
          <w:sz w:val="22"/>
          <w:szCs w:val="22"/>
          <w:lang w:val="fr-FR"/>
        </w:rPr>
        <w:t xml:space="preserve"> Non évaluable : lorsque les données sont insuffisan</w:t>
      </w:r>
      <w:r w:rsidRPr="0057205A">
        <w:rPr>
          <w:rFonts w:ascii="Calibri" w:hAnsi="Calibri" w:cs="Calibri"/>
          <w:sz w:val="22"/>
          <w:szCs w:val="22"/>
          <w:lang w:val="fr-FR"/>
        </w:rPr>
        <w:t>tes pour évaluer l'imputabilité</w:t>
      </w:r>
    </w:p>
    <w:p w14:paraId="5120AD9B" w14:textId="67741A1D" w:rsidR="00CC2A04" w:rsidRDefault="00CC2A04" w:rsidP="0057205A">
      <w:pPr>
        <w:pStyle w:val="Body"/>
        <w:spacing w:before="100" w:after="100"/>
        <w:jc w:val="both"/>
        <w:rPr>
          <w:b/>
          <w:bCs/>
          <w:i/>
          <w:iCs/>
          <w:shd w:val="clear" w:color="auto" w:fill="FFFFFF"/>
        </w:rPr>
      </w:pPr>
    </w:p>
    <w:p w14:paraId="6C1AB6E1" w14:textId="77777777" w:rsidR="0057205A" w:rsidRPr="0057205A" w:rsidRDefault="0057205A" w:rsidP="0057205A">
      <w:pPr>
        <w:pStyle w:val="Body"/>
        <w:spacing w:before="100" w:after="100"/>
        <w:jc w:val="both"/>
        <w:rPr>
          <w:b/>
          <w:bCs/>
          <w:i/>
          <w:iCs/>
          <w:shd w:val="clear" w:color="auto" w:fill="FFFFFF"/>
        </w:rPr>
      </w:pPr>
    </w:p>
    <w:p w14:paraId="6DB0EDD2" w14:textId="77777777" w:rsidR="000430F1" w:rsidRPr="0057205A" w:rsidRDefault="0056641E" w:rsidP="0057205A">
      <w:pPr>
        <w:pStyle w:val="Body"/>
        <w:spacing w:before="100" w:after="100"/>
        <w:jc w:val="both"/>
        <w:rPr>
          <w:rFonts w:eastAsia="Times New Roman"/>
          <w:b/>
          <w:bCs/>
          <w:i/>
          <w:iCs/>
        </w:rPr>
      </w:pPr>
      <w:r w:rsidRPr="0057205A">
        <w:rPr>
          <w:b/>
          <w:bCs/>
          <w:i/>
          <w:iCs/>
          <w:shd w:val="clear" w:color="auto" w:fill="FFFFFF"/>
        </w:rPr>
        <w:t>3</w:t>
      </w:r>
      <w:r w:rsidR="00ED5F28" w:rsidRPr="0057205A">
        <w:rPr>
          <w:b/>
          <w:bCs/>
          <w:i/>
          <w:iCs/>
          <w:shd w:val="clear" w:color="auto" w:fill="FFFFFF"/>
        </w:rPr>
        <w:t>. Modalités de signalement</w:t>
      </w:r>
    </w:p>
    <w:p w14:paraId="37A07B50" w14:textId="77777777" w:rsidR="000430F1" w:rsidRPr="0057205A" w:rsidRDefault="00ED5F28" w:rsidP="0057205A">
      <w:pPr>
        <w:pStyle w:val="Body"/>
        <w:spacing w:before="100" w:after="100"/>
        <w:jc w:val="both"/>
        <w:rPr>
          <w:rFonts w:eastAsia="Times New Roman"/>
        </w:rPr>
      </w:pPr>
      <w:r w:rsidRPr="0057205A">
        <w:t>Tout professionnel de santé qui constate ou a connaissance de la survenue d'un effet indésirable grave survenu chez un donneur de sang le signale sans délai et au plus ta</w:t>
      </w:r>
      <w:r w:rsidR="005B22FE" w:rsidRPr="0057205A">
        <w:t xml:space="preserve">rd dans </w:t>
      </w:r>
      <w:r w:rsidR="005B22FE" w:rsidRPr="0057205A">
        <w:rPr>
          <w:b/>
          <w:bCs/>
        </w:rPr>
        <w:t>les huit heures</w:t>
      </w:r>
      <w:r w:rsidR="005B22FE" w:rsidRPr="0057205A">
        <w:t xml:space="preserve"> au Correspondant </w:t>
      </w:r>
      <w:r w:rsidRPr="0057205A">
        <w:t xml:space="preserve">rattaché au </w:t>
      </w:r>
      <w:r w:rsidR="00CB7CE1" w:rsidRPr="0057205A">
        <w:t>centre de transfusion sanguine référent</w:t>
      </w:r>
      <w:r w:rsidRPr="0057205A">
        <w:t xml:space="preserve"> dans lequel le </w:t>
      </w:r>
      <w:r w:rsidR="00FE5736" w:rsidRPr="0057205A">
        <w:t>candidat au don s'est présenté.</w:t>
      </w:r>
      <w:r w:rsidRPr="0057205A">
        <w:t xml:space="preserve"> Ce signalement se fera, sans délai, dans les cas de décès ou lorsque l'effet indésirable est susceptible de survenir chez d’autres </w:t>
      </w:r>
      <w:r w:rsidRPr="0057205A">
        <w:lastRenderedPageBreak/>
        <w:t>donneurs. Cette information peut se faire par tous les moyens disponibles localement (téléphone, fax, message électronique…)</w:t>
      </w:r>
    </w:p>
    <w:p w14:paraId="22A786CE" w14:textId="77777777" w:rsidR="000430F1" w:rsidRPr="0057205A" w:rsidRDefault="000430F1" w:rsidP="0057205A">
      <w:pPr>
        <w:pStyle w:val="Body"/>
        <w:spacing w:before="100" w:after="100"/>
        <w:jc w:val="both"/>
        <w:rPr>
          <w:rFonts w:eastAsia="Times New Roman"/>
        </w:rPr>
      </w:pPr>
    </w:p>
    <w:p w14:paraId="0FEB3F0B" w14:textId="77777777" w:rsidR="000430F1" w:rsidRPr="0057205A" w:rsidRDefault="00ED5F28" w:rsidP="0057205A">
      <w:pPr>
        <w:pStyle w:val="Body"/>
        <w:spacing w:before="100" w:after="100"/>
        <w:jc w:val="both"/>
        <w:rPr>
          <w:rFonts w:eastAsia="Times New Roman"/>
          <w:color w:val="000000" w:themeColor="text1"/>
        </w:rPr>
      </w:pPr>
      <w:r w:rsidRPr="0057205A">
        <w:rPr>
          <w:color w:val="000000" w:themeColor="text1"/>
        </w:rPr>
        <w:t xml:space="preserve">Le CHES complète la fiche de déclaration d'effet indésirable, la date et la signe. Il dispose d'un délai maximum </w:t>
      </w:r>
      <w:r w:rsidRPr="0057205A">
        <w:rPr>
          <w:b/>
          <w:bCs/>
          <w:color w:val="000000" w:themeColor="text1"/>
        </w:rPr>
        <w:t>d'un mois</w:t>
      </w:r>
      <w:r w:rsidRPr="0057205A">
        <w:rPr>
          <w:color w:val="000000" w:themeColor="text1"/>
        </w:rPr>
        <w:t xml:space="preserve"> pour mener et finaliser les investigations et transmettre la fiche de déclaration au </w:t>
      </w:r>
      <w:r w:rsidR="00B65E37" w:rsidRPr="0057205A">
        <w:rPr>
          <w:color w:val="000000" w:themeColor="text1"/>
        </w:rPr>
        <w:t>CLTS</w:t>
      </w:r>
      <w:r w:rsidR="00A32EB2" w:rsidRPr="0057205A">
        <w:rPr>
          <w:color w:val="000000" w:themeColor="text1"/>
        </w:rPr>
        <w:t xml:space="preserve"> selon la procédure en vigueur</w:t>
      </w:r>
      <w:r w:rsidRPr="0057205A">
        <w:rPr>
          <w:color w:val="000000" w:themeColor="text1"/>
        </w:rPr>
        <w:t>. La déclaration a lieu sans délai en cas de décès du donneur, dans chaque cas où l'effet indésirable grave viendrait à être rendu public ou lorsque le CHES le juge nécessaire notamment en cas de problèmes susceptibles de mettre en jeu la ST. Le C</w:t>
      </w:r>
      <w:r w:rsidR="00A10471" w:rsidRPr="0057205A">
        <w:rPr>
          <w:color w:val="000000" w:themeColor="text1"/>
        </w:rPr>
        <w:t>L</w:t>
      </w:r>
      <w:r w:rsidRPr="0057205A">
        <w:rPr>
          <w:color w:val="000000" w:themeColor="text1"/>
        </w:rPr>
        <w:t>T</w:t>
      </w:r>
      <w:r w:rsidR="00A10471" w:rsidRPr="0057205A">
        <w:rPr>
          <w:color w:val="000000" w:themeColor="text1"/>
        </w:rPr>
        <w:t>S</w:t>
      </w:r>
      <w:r w:rsidRPr="0057205A">
        <w:rPr>
          <w:color w:val="000000" w:themeColor="text1"/>
        </w:rPr>
        <w:t xml:space="preserve"> peut </w:t>
      </w:r>
      <w:r w:rsidR="00DC7844" w:rsidRPr="0057205A">
        <w:rPr>
          <w:color w:val="000000" w:themeColor="text1"/>
        </w:rPr>
        <w:t>informer</w:t>
      </w:r>
      <w:r w:rsidRPr="0057205A">
        <w:rPr>
          <w:color w:val="000000" w:themeColor="text1"/>
        </w:rPr>
        <w:t xml:space="preserve"> immédiatement le </w:t>
      </w:r>
      <w:r w:rsidR="00955737" w:rsidRPr="0057205A">
        <w:rPr>
          <w:color w:val="000000" w:themeColor="text1"/>
        </w:rPr>
        <w:t>DGS</w:t>
      </w:r>
      <w:r w:rsidRPr="0057205A">
        <w:rPr>
          <w:color w:val="000000" w:themeColor="text1"/>
        </w:rPr>
        <w:t xml:space="preserve"> s’il le juge nécessaire.</w:t>
      </w:r>
    </w:p>
    <w:p w14:paraId="3D08138C" w14:textId="37E9D135" w:rsidR="005B22FE" w:rsidRPr="0057205A" w:rsidRDefault="00ED5F28" w:rsidP="0057205A">
      <w:pPr>
        <w:pStyle w:val="Body"/>
        <w:spacing w:before="100" w:after="100"/>
        <w:jc w:val="both"/>
      </w:pPr>
      <w:r w:rsidRPr="0057205A">
        <w:t>Lorsque des informations obtenues après la transmission de la fiche de déclaration d'effet indésirable nécessitent une modification de cette fiche, la fiche modifiée et signée par le CHES concerné est transmise au destinataire susmentionné.</w:t>
      </w:r>
    </w:p>
    <w:p w14:paraId="200BBF7A" w14:textId="77777777" w:rsidR="009A5A13" w:rsidRPr="0057205A" w:rsidRDefault="009A5A13" w:rsidP="0057205A">
      <w:pPr>
        <w:pStyle w:val="Body"/>
        <w:spacing w:before="100" w:after="100"/>
        <w:jc w:val="both"/>
        <w:rPr>
          <w:rFonts w:eastAsia="Times New Roman"/>
        </w:rPr>
      </w:pPr>
    </w:p>
    <w:p w14:paraId="79E2A9B6" w14:textId="77777777" w:rsidR="000430F1" w:rsidRPr="0057205A" w:rsidRDefault="000E3D0B" w:rsidP="0057205A">
      <w:pPr>
        <w:tabs>
          <w:tab w:val="left" w:pos="284"/>
        </w:tabs>
        <w:spacing w:before="100" w:after="100" w:line="276" w:lineRule="auto"/>
        <w:jc w:val="both"/>
        <w:rPr>
          <w:rFonts w:ascii="Calibri" w:eastAsia="Times New Roman Bold" w:hAnsi="Calibri" w:cs="Calibri"/>
          <w:b/>
          <w:bCs/>
          <w:i/>
          <w:iCs/>
          <w:sz w:val="22"/>
          <w:szCs w:val="22"/>
          <w:lang w:val="fr-FR"/>
        </w:rPr>
      </w:pPr>
      <w:r w:rsidRPr="0057205A">
        <w:rPr>
          <w:rFonts w:ascii="Calibri" w:hAnsi="Calibri" w:cs="Calibri"/>
          <w:b/>
          <w:bCs/>
          <w:i/>
          <w:iCs/>
          <w:sz w:val="22"/>
          <w:szCs w:val="22"/>
          <w:lang w:val="fr-FR"/>
        </w:rPr>
        <w:t>4.</w:t>
      </w:r>
      <w:r w:rsidR="00ED5F28" w:rsidRPr="0057205A">
        <w:rPr>
          <w:rFonts w:ascii="Calibri" w:hAnsi="Calibri" w:cs="Calibri"/>
          <w:b/>
          <w:bCs/>
          <w:i/>
          <w:iCs/>
          <w:sz w:val="22"/>
          <w:szCs w:val="22"/>
          <w:lang w:val="fr-FR"/>
        </w:rPr>
        <w:t>Conservation de la fiche d'effet indésirable grave donneur</w:t>
      </w:r>
    </w:p>
    <w:p w14:paraId="0795B2BE" w14:textId="77777777" w:rsidR="000430F1" w:rsidRPr="0057205A" w:rsidRDefault="00ED5F28" w:rsidP="0057205A">
      <w:pPr>
        <w:pStyle w:val="Body"/>
        <w:spacing w:before="100" w:after="100"/>
        <w:jc w:val="both"/>
        <w:rPr>
          <w:rFonts w:eastAsia="Times New Roman"/>
        </w:rPr>
      </w:pPr>
      <w:r w:rsidRPr="0057205A">
        <w:t xml:space="preserve">Le CHES responsable de l’enquête s'assure que la fiche d'effet indésirable grave </w:t>
      </w:r>
      <w:r w:rsidR="00605973" w:rsidRPr="0057205A">
        <w:t>est insérée dans le dossier du D</w:t>
      </w:r>
      <w:r w:rsidRPr="0057205A">
        <w:t>onneur. En cas de modification des informations portées sur la fiche, la dernière version de la fiche d'effet indésirable est insérée dans ce dossier.</w:t>
      </w:r>
    </w:p>
    <w:p w14:paraId="14F6CDCF" w14:textId="77777777" w:rsidR="00A73AD3" w:rsidRPr="0057205A" w:rsidRDefault="00ED5F28" w:rsidP="0057205A">
      <w:pPr>
        <w:pStyle w:val="Body"/>
        <w:spacing w:before="100" w:after="100"/>
        <w:rPr>
          <w:color w:val="FF0000"/>
        </w:rPr>
      </w:pPr>
      <w:r w:rsidRPr="0057205A">
        <w:t xml:space="preserve">La fiche d'effet indésirable est conservée, sous forme papier ou électronique, </w:t>
      </w:r>
      <w:r w:rsidRPr="0057205A">
        <w:rPr>
          <w:color w:val="FF0000"/>
        </w:rPr>
        <w:t xml:space="preserve">conformément à la </w:t>
      </w:r>
      <w:r w:rsidR="00A32EB2" w:rsidRPr="0057205A">
        <w:rPr>
          <w:color w:val="FF0000"/>
        </w:rPr>
        <w:t>procédure</w:t>
      </w:r>
      <w:r w:rsidRPr="0057205A">
        <w:rPr>
          <w:color w:val="FF0000"/>
        </w:rPr>
        <w:t xml:space="preserve"> en vigueur</w:t>
      </w:r>
      <w:r w:rsidR="00A30A63" w:rsidRPr="0057205A">
        <w:rPr>
          <w:color w:val="FF0000"/>
        </w:rPr>
        <w:t> </w:t>
      </w:r>
    </w:p>
    <w:p w14:paraId="5B424D2C" w14:textId="48B32992" w:rsidR="000A7568" w:rsidRPr="0057205A" w:rsidRDefault="009A5A13" w:rsidP="0057205A">
      <w:pPr>
        <w:pStyle w:val="Body"/>
        <w:numPr>
          <w:ilvl w:val="0"/>
          <w:numId w:val="24"/>
        </w:numPr>
        <w:spacing w:after="0"/>
        <w:ind w:left="714" w:hanging="357"/>
        <w:rPr>
          <w:rFonts w:eastAsia="Times New Roman"/>
        </w:rPr>
      </w:pPr>
      <w:r w:rsidRPr="0057205A">
        <w:t>Au</w:t>
      </w:r>
      <w:r w:rsidR="00ED5F28" w:rsidRPr="0057205A">
        <w:t xml:space="preserve"> sein du dossier d</w:t>
      </w:r>
      <w:r w:rsidR="00FE5736" w:rsidRPr="0057205A">
        <w:t xml:space="preserve">u donneur constitué par le </w:t>
      </w:r>
      <w:r w:rsidR="000A7568" w:rsidRPr="0057205A">
        <w:t xml:space="preserve">centre de transfusion sanguine référents </w:t>
      </w:r>
    </w:p>
    <w:p w14:paraId="19977C0F" w14:textId="08E5DC53" w:rsidR="00D26E53" w:rsidRPr="0057205A" w:rsidRDefault="009A5A13" w:rsidP="0057205A">
      <w:pPr>
        <w:pStyle w:val="Body"/>
        <w:numPr>
          <w:ilvl w:val="0"/>
          <w:numId w:val="24"/>
        </w:numPr>
        <w:spacing w:after="0"/>
        <w:ind w:left="714" w:hanging="357"/>
        <w:rPr>
          <w:rFonts w:eastAsia="Times New Roman"/>
        </w:rPr>
      </w:pPr>
      <w:r w:rsidRPr="0057205A">
        <w:t>Par</w:t>
      </w:r>
      <w:r w:rsidR="00ED5F28" w:rsidRPr="0057205A">
        <w:t xml:space="preserve"> le </w:t>
      </w:r>
      <w:r w:rsidRPr="0057205A">
        <w:t>Correspondant rattaché</w:t>
      </w:r>
      <w:r w:rsidR="00ED5F28" w:rsidRPr="0057205A">
        <w:t xml:space="preserve"> au </w:t>
      </w:r>
      <w:r w:rsidR="000A7568" w:rsidRPr="0057205A">
        <w:t>centre de transfusion sanguine référents</w:t>
      </w:r>
      <w:r w:rsidR="00ED5F28" w:rsidRPr="0057205A">
        <w:t xml:space="preserve"> dans lequel le candidat au don s’est présenté</w:t>
      </w:r>
    </w:p>
    <w:p w14:paraId="637F1494" w14:textId="6286876B" w:rsidR="000430F1" w:rsidRPr="0057205A" w:rsidRDefault="009A5A13" w:rsidP="0057205A">
      <w:pPr>
        <w:pStyle w:val="Body"/>
        <w:numPr>
          <w:ilvl w:val="0"/>
          <w:numId w:val="24"/>
        </w:numPr>
        <w:spacing w:after="0"/>
        <w:ind w:left="714" w:hanging="357"/>
        <w:rPr>
          <w:rFonts w:eastAsia="Times New Roman"/>
        </w:rPr>
      </w:pPr>
      <w:r w:rsidRPr="0057205A">
        <w:t>Par</w:t>
      </w:r>
      <w:r w:rsidR="00ED5F28" w:rsidRPr="0057205A">
        <w:t xml:space="preserve"> le C</w:t>
      </w:r>
      <w:r w:rsidR="00170E35" w:rsidRPr="0057205A">
        <w:t>L</w:t>
      </w:r>
      <w:r w:rsidR="00ED5F28" w:rsidRPr="0057205A">
        <w:t>T</w:t>
      </w:r>
      <w:r w:rsidR="00170E35" w:rsidRPr="0057205A">
        <w:t>S</w:t>
      </w:r>
    </w:p>
    <w:p w14:paraId="1D455666" w14:textId="77777777" w:rsidR="000430F1" w:rsidRPr="0057205A" w:rsidRDefault="000430F1" w:rsidP="0057205A">
      <w:pPr>
        <w:pStyle w:val="Body"/>
        <w:spacing w:before="100" w:after="100"/>
        <w:jc w:val="both"/>
        <w:rPr>
          <w:rFonts w:eastAsia="Times New Roman"/>
        </w:rPr>
      </w:pPr>
    </w:p>
    <w:p w14:paraId="0810385C" w14:textId="77777777" w:rsidR="000430F1" w:rsidRPr="0057205A" w:rsidRDefault="00ED5F28" w:rsidP="0057205A">
      <w:pPr>
        <w:pStyle w:val="Body"/>
        <w:spacing w:before="100" w:after="100"/>
        <w:jc w:val="both"/>
        <w:rPr>
          <w:rFonts w:eastAsia="Times New Roman Bold"/>
          <w:b/>
          <w:bCs/>
        </w:rPr>
      </w:pPr>
      <w:r w:rsidRPr="0057205A">
        <w:rPr>
          <w:b/>
          <w:bCs/>
        </w:rPr>
        <w:t>Rapport complémentaire :</w:t>
      </w:r>
    </w:p>
    <w:p w14:paraId="6AAB8A60" w14:textId="03165CE3" w:rsidR="000430F1" w:rsidRPr="0057205A" w:rsidRDefault="00ED5F28" w:rsidP="0057205A">
      <w:pPr>
        <w:pStyle w:val="Body"/>
        <w:spacing w:before="100" w:after="100"/>
        <w:jc w:val="both"/>
        <w:rPr>
          <w:rFonts w:eastAsia="Times New Roman"/>
        </w:rPr>
      </w:pPr>
      <w:r w:rsidRPr="0057205A">
        <w:t>Chaque fois que des précisions complémentaires, autres que celles figurant déjà dans la fiche d'effet indésirable grave, sont nécessaires à l'analyse de l'effet indésirable grave, un rapport complémentaire est conservé selon les modalités ci-dessus.</w:t>
      </w:r>
    </w:p>
    <w:p w14:paraId="51E86A1A" w14:textId="1B36D7E9" w:rsidR="000430F1" w:rsidRPr="0057205A" w:rsidRDefault="000430F1" w:rsidP="0057205A">
      <w:pPr>
        <w:pStyle w:val="Body"/>
        <w:jc w:val="both"/>
        <w:rPr>
          <w:rFonts w:eastAsia="Times New Roman Bold"/>
        </w:rPr>
      </w:pPr>
    </w:p>
    <w:p w14:paraId="2205BFB7" w14:textId="5198A08D" w:rsidR="009A5A13" w:rsidRPr="0057205A" w:rsidRDefault="009A5A13" w:rsidP="0057205A">
      <w:pPr>
        <w:pStyle w:val="Body"/>
        <w:jc w:val="both"/>
        <w:rPr>
          <w:rFonts w:eastAsia="Times New Roman Bold"/>
        </w:rPr>
      </w:pPr>
    </w:p>
    <w:p w14:paraId="67542F97" w14:textId="23B2A30D" w:rsidR="009A5A13" w:rsidRPr="0057205A" w:rsidRDefault="009A5A13" w:rsidP="0057205A">
      <w:pPr>
        <w:pStyle w:val="Body"/>
        <w:jc w:val="both"/>
        <w:rPr>
          <w:rFonts w:eastAsia="Times New Roman Bold"/>
        </w:rPr>
      </w:pPr>
    </w:p>
    <w:p w14:paraId="1725F27B" w14:textId="25D41A79" w:rsidR="009A5A13" w:rsidRPr="0057205A" w:rsidRDefault="009A5A13" w:rsidP="0057205A">
      <w:pPr>
        <w:pStyle w:val="Body"/>
        <w:jc w:val="both"/>
        <w:rPr>
          <w:rFonts w:eastAsia="Times New Roman Bold"/>
        </w:rPr>
      </w:pPr>
    </w:p>
    <w:p w14:paraId="550859DD" w14:textId="3C6C5F2F" w:rsidR="009A5A13" w:rsidRPr="0057205A" w:rsidRDefault="009A5A13" w:rsidP="0057205A">
      <w:pPr>
        <w:pStyle w:val="Body"/>
        <w:jc w:val="both"/>
        <w:rPr>
          <w:rFonts w:eastAsia="Times New Roman Bold"/>
        </w:rPr>
      </w:pPr>
    </w:p>
    <w:p w14:paraId="14640B5F" w14:textId="5D1504B7" w:rsidR="009A5A13" w:rsidRPr="0057205A" w:rsidRDefault="009A5A13" w:rsidP="0057205A">
      <w:pPr>
        <w:pStyle w:val="Body"/>
        <w:jc w:val="both"/>
        <w:rPr>
          <w:rFonts w:eastAsia="Times New Roman Bold"/>
        </w:rPr>
      </w:pPr>
    </w:p>
    <w:p w14:paraId="51D7C722" w14:textId="77777777" w:rsidR="009A5A13" w:rsidRPr="0057205A" w:rsidRDefault="009A5A13" w:rsidP="0057205A">
      <w:pPr>
        <w:pStyle w:val="Body"/>
        <w:jc w:val="both"/>
        <w:rPr>
          <w:rFonts w:eastAsia="Times New Roman Bold"/>
        </w:rPr>
      </w:pPr>
    </w:p>
    <w:p w14:paraId="5C3B507E" w14:textId="77777777" w:rsidR="000430F1" w:rsidRPr="0057205A" w:rsidRDefault="00AD0555" w:rsidP="0057205A">
      <w:pPr>
        <w:pStyle w:val="Body"/>
        <w:jc w:val="both"/>
        <w:rPr>
          <w:rFonts w:eastAsia="Times New Roman Bold"/>
          <w:b/>
          <w:bCs/>
          <w:color w:val="C00000"/>
          <w:sz w:val="24"/>
          <w:szCs w:val="24"/>
          <w:u w:val="single"/>
        </w:rPr>
      </w:pPr>
      <w:r w:rsidRPr="0057205A">
        <w:rPr>
          <w:rFonts w:eastAsia="Times New Roman Bold"/>
          <w:b/>
          <w:bCs/>
          <w:color w:val="C00000"/>
          <w:sz w:val="24"/>
          <w:szCs w:val="24"/>
          <w:u w:val="single"/>
        </w:rPr>
        <w:t>Abréviations :</w:t>
      </w:r>
    </w:p>
    <w:p w14:paraId="6A8BE4F0" w14:textId="77777777" w:rsidR="000430F1" w:rsidRPr="0057205A" w:rsidRDefault="00ED5F28" w:rsidP="0057205A">
      <w:pPr>
        <w:pStyle w:val="Body"/>
        <w:spacing w:before="100" w:after="100"/>
        <w:jc w:val="both"/>
        <w:rPr>
          <w:rFonts w:eastAsia="Times New Roman"/>
        </w:rPr>
      </w:pPr>
      <w:r w:rsidRPr="0057205A">
        <w:t>CTS : Centre de Transfusion Sanguine</w:t>
      </w:r>
    </w:p>
    <w:p w14:paraId="13DAABFF" w14:textId="77777777" w:rsidR="000430F1" w:rsidRPr="0057205A" w:rsidRDefault="00ED5F28" w:rsidP="0057205A">
      <w:pPr>
        <w:pStyle w:val="Body"/>
        <w:spacing w:before="100" w:after="100"/>
        <w:jc w:val="both"/>
        <w:rPr>
          <w:rFonts w:eastAsia="Times New Roman"/>
        </w:rPr>
      </w:pPr>
      <w:r w:rsidRPr="0057205A">
        <w:t xml:space="preserve">ES : Etablissement de Santé </w:t>
      </w:r>
    </w:p>
    <w:p w14:paraId="47052330" w14:textId="77777777" w:rsidR="000430F1" w:rsidRPr="0057205A" w:rsidRDefault="0033577A" w:rsidP="0057205A">
      <w:pPr>
        <w:pStyle w:val="Body"/>
        <w:spacing w:before="100" w:after="100"/>
        <w:jc w:val="both"/>
      </w:pPr>
      <w:r w:rsidRPr="0057205A">
        <w:t>CHES : Correspondant d’Hémovigilance de l'Etablissement de S</w:t>
      </w:r>
      <w:r w:rsidR="00ED5F28" w:rsidRPr="0057205A">
        <w:t xml:space="preserve">anté </w:t>
      </w:r>
    </w:p>
    <w:p w14:paraId="2B23C234" w14:textId="47BC3B2C" w:rsidR="003C5A8A" w:rsidRPr="0057205A" w:rsidRDefault="009A5A13" w:rsidP="0057205A">
      <w:pPr>
        <w:pStyle w:val="Body"/>
        <w:spacing w:before="100" w:after="100"/>
        <w:jc w:val="both"/>
        <w:rPr>
          <w:rFonts w:eastAsia="Times New Roman"/>
        </w:rPr>
      </w:pPr>
      <w:r w:rsidRPr="0057205A">
        <w:rPr>
          <w:color w:val="222222"/>
          <w:shd w:val="clear" w:color="auto" w:fill="FFFFFF"/>
        </w:rPr>
        <w:t>CSTH :</w:t>
      </w:r>
      <w:r w:rsidR="003C5A8A" w:rsidRPr="0057205A">
        <w:rPr>
          <w:color w:val="222222"/>
          <w:shd w:val="clear" w:color="auto" w:fill="FFFFFF"/>
        </w:rPr>
        <w:t xml:space="preserve"> comité sécurité transfusionnelle et </w:t>
      </w:r>
      <w:r w:rsidR="00DB5EBF" w:rsidRPr="0057205A">
        <w:rPr>
          <w:color w:val="222222"/>
          <w:shd w:val="clear" w:color="auto" w:fill="FFFFFF"/>
        </w:rPr>
        <w:t>hémovigilance</w:t>
      </w:r>
    </w:p>
    <w:p w14:paraId="15DE0F99" w14:textId="77777777" w:rsidR="000430F1" w:rsidRPr="0057205A" w:rsidRDefault="00ED5F28" w:rsidP="0057205A">
      <w:pPr>
        <w:pStyle w:val="Body"/>
        <w:spacing w:before="100" w:after="100"/>
        <w:jc w:val="both"/>
        <w:rPr>
          <w:rFonts w:eastAsia="Times New Roman"/>
        </w:rPr>
      </w:pPr>
      <w:r w:rsidRPr="0057205A">
        <w:t>CLTS : Comité Libanais de Transfusion Sanguine</w:t>
      </w:r>
    </w:p>
    <w:p w14:paraId="030917BC" w14:textId="77777777" w:rsidR="000430F1" w:rsidRPr="0057205A" w:rsidRDefault="00ED5F28" w:rsidP="0057205A">
      <w:pPr>
        <w:pStyle w:val="Body"/>
        <w:spacing w:before="100" w:after="100"/>
        <w:jc w:val="both"/>
        <w:rPr>
          <w:rFonts w:eastAsia="Times New Roman"/>
        </w:rPr>
      </w:pPr>
      <w:r w:rsidRPr="0057205A">
        <w:t>HV : Hémovigilance</w:t>
      </w:r>
    </w:p>
    <w:p w14:paraId="0EE02ECA" w14:textId="77777777" w:rsidR="000430F1" w:rsidRPr="0057205A" w:rsidRDefault="00ED5F28" w:rsidP="0057205A">
      <w:pPr>
        <w:pStyle w:val="Body"/>
        <w:spacing w:before="100" w:after="100"/>
        <w:jc w:val="both"/>
        <w:rPr>
          <w:rFonts w:eastAsia="Times New Roman"/>
        </w:rPr>
      </w:pPr>
      <w:r w:rsidRPr="0057205A">
        <w:t>PSL : Produits Sanguins Labiles</w:t>
      </w:r>
    </w:p>
    <w:p w14:paraId="496FA44C" w14:textId="77777777" w:rsidR="000430F1" w:rsidRPr="0057205A" w:rsidRDefault="007E24A9" w:rsidP="0057205A">
      <w:pPr>
        <w:pStyle w:val="Body"/>
        <w:spacing w:before="100" w:after="100"/>
        <w:jc w:val="both"/>
      </w:pPr>
      <w:r w:rsidRPr="0057205A">
        <w:t>ST</w:t>
      </w:r>
      <w:r w:rsidR="00ED5F28" w:rsidRPr="0057205A">
        <w:t> : Sécurité Transfusionnelle</w:t>
      </w:r>
    </w:p>
    <w:p w14:paraId="5AFEC8D5" w14:textId="77777777" w:rsidR="007320B8" w:rsidRPr="0057205A" w:rsidRDefault="007320B8" w:rsidP="0057205A">
      <w:pPr>
        <w:pStyle w:val="Body"/>
        <w:spacing w:before="100" w:after="100"/>
        <w:jc w:val="both"/>
      </w:pPr>
      <w:r w:rsidRPr="0057205A">
        <w:t>DGS : Directeur Général de la Santé</w:t>
      </w:r>
    </w:p>
    <w:p w14:paraId="7B6B6951" w14:textId="77777777" w:rsidR="007E24A9" w:rsidRPr="0057205A" w:rsidRDefault="0033577A" w:rsidP="0057205A">
      <w:pPr>
        <w:pStyle w:val="Body"/>
        <w:spacing w:before="100" w:after="100"/>
        <w:jc w:val="both"/>
      </w:pPr>
      <w:r w:rsidRPr="0057205A">
        <w:t>FIT : Fiche I</w:t>
      </w:r>
      <w:r w:rsidR="007E24A9" w:rsidRPr="0057205A">
        <w:t>ncident Receveur</w:t>
      </w:r>
    </w:p>
    <w:p w14:paraId="62B455BD" w14:textId="77777777" w:rsidR="007E24A9" w:rsidRPr="0057205A" w:rsidRDefault="007E24A9" w:rsidP="0057205A">
      <w:pPr>
        <w:pStyle w:val="Body"/>
        <w:spacing w:before="100" w:after="100"/>
        <w:jc w:val="both"/>
      </w:pPr>
      <w:r w:rsidRPr="0057205A">
        <w:t>F</w:t>
      </w:r>
      <w:r w:rsidR="007D405D" w:rsidRPr="0057205A">
        <w:t>E</w:t>
      </w:r>
      <w:r w:rsidRPr="0057205A">
        <w:t xml:space="preserve">IGD : Fiche </w:t>
      </w:r>
      <w:r w:rsidR="007D405D" w:rsidRPr="0057205A">
        <w:t>d’Effet Indésirable Grave</w:t>
      </w:r>
      <w:r w:rsidR="0033577A" w:rsidRPr="0057205A">
        <w:t xml:space="preserve"> D</w:t>
      </w:r>
      <w:r w:rsidR="00AA2F21" w:rsidRPr="0057205A">
        <w:t>onneur</w:t>
      </w:r>
      <w:r w:rsidRPr="0057205A">
        <w:t xml:space="preserve"> </w:t>
      </w:r>
    </w:p>
    <w:p w14:paraId="3B4A23AE" w14:textId="77777777" w:rsidR="00082F0E" w:rsidRPr="0057205A" w:rsidRDefault="007D405D" w:rsidP="0057205A">
      <w:pPr>
        <w:pStyle w:val="Body"/>
        <w:spacing w:before="100" w:after="100"/>
        <w:jc w:val="both"/>
      </w:pPr>
      <w:r w:rsidRPr="0057205A">
        <w:t>E</w:t>
      </w:r>
      <w:r w:rsidR="0033577A" w:rsidRPr="0057205A">
        <w:t xml:space="preserve">IGD : </w:t>
      </w:r>
      <w:r w:rsidRPr="0057205A">
        <w:t>Effet Indésirable Grave Donneur</w:t>
      </w:r>
    </w:p>
    <w:p w14:paraId="264792E5" w14:textId="77777777" w:rsidR="006176E8" w:rsidRPr="0057205A" w:rsidRDefault="006176E8" w:rsidP="0057205A">
      <w:pPr>
        <w:pStyle w:val="Body"/>
        <w:spacing w:before="100" w:after="100"/>
        <w:jc w:val="both"/>
      </w:pPr>
      <w:r w:rsidRPr="0057205A">
        <w:t>IT : Incident Transfusionnel</w:t>
      </w:r>
    </w:p>
    <w:sectPr w:rsidR="006176E8" w:rsidRPr="0057205A" w:rsidSect="009A5A13">
      <w:headerReference w:type="default" r:id="rId8"/>
      <w:footerReference w:type="default" r:id="rId9"/>
      <w:pgSz w:w="11900" w:h="16840" w:code="9"/>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CD248" w14:textId="77777777" w:rsidR="00FC368F" w:rsidRDefault="00FC368F">
      <w:r>
        <w:separator/>
      </w:r>
    </w:p>
  </w:endnote>
  <w:endnote w:type="continuationSeparator" w:id="0">
    <w:p w14:paraId="73D8A415" w14:textId="77777777" w:rsidR="00FC368F" w:rsidRDefault="00FC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C0D3" w14:textId="214463C3" w:rsidR="00CA6CAA" w:rsidRDefault="00436257">
    <w:pPr>
      <w:pStyle w:val="Footer"/>
      <w:tabs>
        <w:tab w:val="clear" w:pos="9072"/>
        <w:tab w:val="right" w:pos="9046"/>
      </w:tabs>
      <w:jc w:val="right"/>
    </w:pPr>
    <w:r w:rsidRPr="00E57A55">
      <w:rPr>
        <w:noProof/>
      </w:rPr>
      <mc:AlternateContent>
        <mc:Choice Requires="wps">
          <w:drawing>
            <wp:anchor distT="0" distB="0" distL="114300" distR="114300" simplePos="0" relativeHeight="251665408" behindDoc="1" locked="0" layoutInCell="0" allowOverlap="1" wp14:anchorId="57B40302" wp14:editId="5AF69989">
              <wp:simplePos x="0" y="0"/>
              <wp:positionH relativeFrom="page">
                <wp:posOffset>34506</wp:posOffset>
              </wp:positionH>
              <wp:positionV relativeFrom="page">
                <wp:posOffset>9848718</wp:posOffset>
              </wp:positionV>
              <wp:extent cx="7724775" cy="45719"/>
              <wp:effectExtent l="0" t="0" r="47625" b="31115"/>
              <wp:wrapNone/>
              <wp:docPr id="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7724775" cy="45719"/>
                      </a:xfrm>
                      <a:custGeom>
                        <a:avLst/>
                        <a:gdLst>
                          <a:gd name="T0" fmla="*/ 0 w 11906"/>
                          <a:gd name="T1" fmla="*/ 0 h 20"/>
                          <a:gd name="T2" fmla="*/ 11906 w 11906"/>
                          <a:gd name="T3" fmla="*/ 0 h 20"/>
                        </a:gdLst>
                        <a:ahLst/>
                        <a:cxnLst>
                          <a:cxn ang="0">
                            <a:pos x="T0" y="T1"/>
                          </a:cxn>
                          <a:cxn ang="0">
                            <a:pos x="T2" y="T3"/>
                          </a:cxn>
                        </a:cxnLst>
                        <a:rect l="0" t="0" r="r" b="b"/>
                        <a:pathLst>
                          <a:path w="11906" h="20">
                            <a:moveTo>
                              <a:pt x="0" y="0"/>
                            </a:moveTo>
                            <a:lnTo>
                              <a:pt x="11906" y="0"/>
                            </a:lnTo>
                          </a:path>
                        </a:pathLst>
                      </a:custGeom>
                      <a:noFill/>
                      <a:ln w="63500">
                        <a:solidFill>
                          <a:srgbClr val="8B0D1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74ED9" id="Freeform 7" o:spid="_x0000_s1026" style="position:absolute;margin-left:2.7pt;margin-top:775.5pt;width:608.25pt;height:3.6pt;flip:y;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ATlQIAAI8FAAAOAAAAZHJzL2Uyb0RvYy54bWysVE2P0zAQvSPxHywfkWiSbrvdRpuuYJdF&#10;SMuHtIW76ziNheMxttu0/HrGTppmF7ggLtE48zTz5s3H9c2hUWQvrJOgC5pNUkqE5lBKvS3o1/X9&#10;6ytKnGe6ZAq0KOhROHqzevniujW5mEINqhSWYBDt8tYUtPbe5EnieC0a5iZghEZnBbZhHp92m5SW&#10;tRi9Uck0TS+TFmxpLHDhHP6965x0FeNXleD+c1U54YkqKHLz8WvjdxO+yeqa5VvLTC15T4P9A4uG&#10;SY1Jh1B3zDOys/K3UI3kFhxUfsKhSaCqJBexBqwmS59V81gzI2ItKI4zg0zu/4Xln/aP5osN1J15&#10;AP7doSJJa1w+eMLDIYZs2o9QYg/ZzkMs9lDZhlRKmm/Y+vgHCyKHqO5xUFccPOH4c7GYzhaLOSUc&#10;fbP5IlsG9ROWhzCBAN85/15AtNn+wfmuOSVaUdqSaNZg/jU2smoU9ulVQlLSkixbppd9KwdQ9gRU&#10;k+mp2QNiOkLEEH8LdTECpuQUCplvT9xYfaLLD7rnixZhYQ3SKI0BF6QJ5LH+ddYXj6hY+5/BSDGA&#10;L8ZgzHtOYnHCn8+2pQRne9MJYpgP3EKOYJIWWxXlInVBUZPgaGAv1hAh/ln7MNnZq/QY1Yc5NRqR&#10;nR+NkCm2dsgeSI/aq+FeKhX7q3TgdHkxTzsyDpQsgzfwcXa7uVWW7Bnu79Xb9G4YmicwCztdxmi1&#10;YOW73vZMqs6O3Pq5DqMczoPLN1AecawtdFcBrxgaNdiflLR4EQrqfuyYFZSoDxpXbpnNZuGExAfO&#10;L4pH7NizGXuY5hiqoJ7iEATz1ndnZ2es3NaYqdsYDW9wnSoZhj3uXceqf+DWRx37CxXOyvgdUec7&#10;uvoFAAD//wMAUEsDBBQABgAIAAAAIQC+cWJ13wAAAAwBAAAPAAAAZHJzL2Rvd25yZXYueG1sTI89&#10;T8MwEIZ3JP6DdUhs1IlFoE3jVAiBBBNQWNiu8TWJiM9R7KQpvx6XBcZ779H7UWxm24mJBt861pAu&#10;EhDElTMt1xo+3h+vliB8QDbYOSYNR/KwKc/PCsyNO/AbTdtQi2jCPkcNTQh9LqWvGrLoF64njr+9&#10;GyyGeA61NAMeorntpEqSG2mx5ZjQYE/3DVVf29FqMMfP24f5e5he1GiS1zC65xU+aX15Md+tQQSa&#10;wx8Mp/qxOpSx086NbLzoNGTXEYxylqVx0wlQKl2B2P1qSwWyLOT/EeUPAAAA//8DAFBLAQItABQA&#10;BgAIAAAAIQC2gziS/gAAAOEBAAATAAAAAAAAAAAAAAAAAAAAAABbQ29udGVudF9UeXBlc10ueG1s&#10;UEsBAi0AFAAGAAgAAAAhADj9If/WAAAAlAEAAAsAAAAAAAAAAAAAAAAALwEAAF9yZWxzLy5yZWxz&#10;UEsBAi0AFAAGAAgAAAAhAB1msBOVAgAAjwUAAA4AAAAAAAAAAAAAAAAALgIAAGRycy9lMm9Eb2Mu&#10;eG1sUEsBAi0AFAAGAAgAAAAhAL5xYnXfAAAADAEAAA8AAAAAAAAAAAAAAAAA7wQAAGRycy9kb3du&#10;cmV2LnhtbFBLBQYAAAAABAAEAPMAAAD7BQAAAAA=&#10;" o:allowincell="f" path="m,l11906,e" filled="f" strokecolor="#8b0d19" strokeweight="5pt">
              <v:path arrowok="t" o:connecttype="custom" o:connectlocs="0,0;7724775,0" o:connectangles="0,0"/>
              <w10:wrap anchorx="page" anchory="page"/>
            </v:shape>
          </w:pict>
        </mc:Fallback>
      </mc:AlternateContent>
    </w:r>
    <w:r w:rsidR="00CA6CAA">
      <w:fldChar w:fldCharType="begin"/>
    </w:r>
    <w:r w:rsidR="00CA6CAA">
      <w:instrText xml:space="preserve"> PAGE </w:instrText>
    </w:r>
    <w:r w:rsidR="00CA6CAA">
      <w:fldChar w:fldCharType="separate"/>
    </w:r>
    <w:r w:rsidR="00CA6CAA">
      <w:rPr>
        <w:noProof/>
      </w:rPr>
      <w:t>8</w:t>
    </w:r>
    <w:r w:rsidR="00CA6CA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01985" w14:textId="77777777" w:rsidR="00FC368F" w:rsidRDefault="00FC368F">
      <w:r>
        <w:separator/>
      </w:r>
    </w:p>
  </w:footnote>
  <w:footnote w:type="continuationSeparator" w:id="0">
    <w:p w14:paraId="552F41AA" w14:textId="77777777" w:rsidR="00FC368F" w:rsidRDefault="00FC3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15CE" w14:textId="290D1671" w:rsidR="00436257" w:rsidRDefault="00436257">
    <w:pPr>
      <w:pStyle w:val="Header"/>
    </w:pPr>
    <w:r>
      <w:rPr>
        <w:noProof/>
      </w:rPr>
      <w:drawing>
        <wp:anchor distT="0" distB="0" distL="114300" distR="114300" simplePos="0" relativeHeight="251663360" behindDoc="0" locked="0" layoutInCell="1" allowOverlap="1" wp14:anchorId="7622C3F7" wp14:editId="65FFE705">
          <wp:simplePos x="0" y="0"/>
          <wp:positionH relativeFrom="column">
            <wp:posOffset>3916393</wp:posOffset>
          </wp:positionH>
          <wp:positionV relativeFrom="paragraph">
            <wp:posOffset>-371380</wp:posOffset>
          </wp:positionV>
          <wp:extent cx="1771650" cy="586740"/>
          <wp:effectExtent l="0" t="0" r="0" b="3810"/>
          <wp:wrapThrough wrapText="bothSides">
            <wp:wrapPolygon edited="0">
              <wp:start x="0" y="0"/>
              <wp:lineTo x="0" y="21039"/>
              <wp:lineTo x="21368" y="21039"/>
              <wp:lineTo x="21368" y="0"/>
              <wp:lineTo x="0" y="0"/>
            </wp:wrapPolygon>
          </wp:wrapThrough>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rotWithShape="1">
                  <a:blip r:embed="rId1"/>
                  <a:srcRect b="13564"/>
                  <a:stretch/>
                </pic:blipFill>
                <pic:spPr bwMode="auto">
                  <a:xfrm>
                    <a:off x="0" y="0"/>
                    <a:ext cx="1771650" cy="5867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61312" behindDoc="0" locked="0" layoutInCell="1" allowOverlap="1" wp14:anchorId="2CCEA6DC" wp14:editId="669E07DA">
          <wp:simplePos x="0" y="0"/>
          <wp:positionH relativeFrom="column">
            <wp:posOffset>0</wp:posOffset>
          </wp:positionH>
          <wp:positionV relativeFrom="paragraph">
            <wp:posOffset>-406077</wp:posOffset>
          </wp:positionV>
          <wp:extent cx="1811655" cy="586740"/>
          <wp:effectExtent l="0" t="0" r="0" b="3810"/>
          <wp:wrapNone/>
          <wp:docPr id="5" name="Picture 5" descr="C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1655" cy="586740"/>
                  </a:xfrm>
                  <a:prstGeom prst="rect">
                    <a:avLst/>
                  </a:prstGeom>
                  <a:noFill/>
                  <a:ln>
                    <a:noFill/>
                  </a:ln>
                </pic:spPr>
              </pic:pic>
            </a:graphicData>
          </a:graphic>
        </wp:anchor>
      </w:drawing>
    </w:r>
    <w:r w:rsidRPr="00E57A55">
      <w:rPr>
        <w:noProof/>
      </w:rPr>
      <mc:AlternateContent>
        <mc:Choice Requires="wps">
          <w:drawing>
            <wp:anchor distT="0" distB="0" distL="114300" distR="114300" simplePos="0" relativeHeight="251659264" behindDoc="1" locked="0" layoutInCell="0" allowOverlap="1" wp14:anchorId="09938573" wp14:editId="106672FC">
              <wp:simplePos x="0" y="0"/>
              <wp:positionH relativeFrom="page">
                <wp:posOffset>-181155</wp:posOffset>
              </wp:positionH>
              <wp:positionV relativeFrom="page">
                <wp:posOffset>690484</wp:posOffset>
              </wp:positionV>
              <wp:extent cx="7724775" cy="45719"/>
              <wp:effectExtent l="0" t="0" r="47625" b="31115"/>
              <wp:wrapNone/>
              <wp:docPr id="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7724775" cy="45719"/>
                      </a:xfrm>
                      <a:custGeom>
                        <a:avLst/>
                        <a:gdLst>
                          <a:gd name="T0" fmla="*/ 0 w 11906"/>
                          <a:gd name="T1" fmla="*/ 0 h 20"/>
                          <a:gd name="T2" fmla="*/ 11906 w 11906"/>
                          <a:gd name="T3" fmla="*/ 0 h 20"/>
                        </a:gdLst>
                        <a:ahLst/>
                        <a:cxnLst>
                          <a:cxn ang="0">
                            <a:pos x="T0" y="T1"/>
                          </a:cxn>
                          <a:cxn ang="0">
                            <a:pos x="T2" y="T3"/>
                          </a:cxn>
                        </a:cxnLst>
                        <a:rect l="0" t="0" r="r" b="b"/>
                        <a:pathLst>
                          <a:path w="11906" h="20">
                            <a:moveTo>
                              <a:pt x="0" y="0"/>
                            </a:moveTo>
                            <a:lnTo>
                              <a:pt x="11906" y="0"/>
                            </a:lnTo>
                          </a:path>
                        </a:pathLst>
                      </a:custGeom>
                      <a:noFill/>
                      <a:ln w="63500">
                        <a:solidFill>
                          <a:srgbClr val="8B0D1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905B8" id="Freeform 7" o:spid="_x0000_s1026" style="position:absolute;margin-left:-14.25pt;margin-top:54.35pt;width:608.25pt;height:3.6pt;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ATlQIAAI8FAAAOAAAAZHJzL2Uyb0RvYy54bWysVE2P0zAQvSPxHywfkWiSbrvdRpuuYJdF&#10;SMuHtIW76ziNheMxttu0/HrGTppmF7ggLtE48zTz5s3H9c2hUWQvrJOgC5pNUkqE5lBKvS3o1/X9&#10;6ytKnGe6ZAq0KOhROHqzevniujW5mEINqhSWYBDt8tYUtPbe5EnieC0a5iZghEZnBbZhHp92m5SW&#10;tRi9Uck0TS+TFmxpLHDhHP6965x0FeNXleD+c1U54YkqKHLz8WvjdxO+yeqa5VvLTC15T4P9A4uG&#10;SY1Jh1B3zDOys/K3UI3kFhxUfsKhSaCqJBexBqwmS59V81gzI2ItKI4zg0zu/4Xln/aP5osN1J15&#10;AP7doSJJa1w+eMLDIYZs2o9QYg/ZzkMs9lDZhlRKmm/Y+vgHCyKHqO5xUFccPOH4c7GYzhaLOSUc&#10;fbP5IlsG9ROWhzCBAN85/15AtNn+wfmuOSVaUdqSaNZg/jU2smoU9ulVQlLSkixbppd9KwdQ9gRU&#10;k+mp2QNiOkLEEH8LdTECpuQUCplvT9xYfaLLD7rnixZhYQ3SKI0BF6QJ5LH+ddYXj6hY+5/BSDGA&#10;L8ZgzHtOYnHCn8+2pQRne9MJYpgP3EKOYJIWWxXlInVBUZPgaGAv1hAh/ln7MNnZq/QY1Yc5NRqR&#10;nR+NkCm2dsgeSI/aq+FeKhX7q3TgdHkxTzsyDpQsgzfwcXa7uVWW7Bnu79Xb9G4YmicwCztdxmi1&#10;YOW73vZMqs6O3Pq5DqMczoPLN1AecawtdFcBrxgaNdiflLR4EQrqfuyYFZSoDxpXbpnNZuGExAfO&#10;L4pH7NizGXuY5hiqoJ7iEATz1ndnZ2es3NaYqdsYDW9wnSoZhj3uXceqf+DWRx37CxXOyvgdUec7&#10;uvoFAAD//wMAUEsDBBQABgAIAAAAIQAy3Ytt4AAAAAwBAAAPAAAAZHJzL2Rvd25yZXYueG1sTI/B&#10;TsMwEETvSPyDtUjcWruRSt00ToUQSHACCpfe3HhJImI7sp005evZnOC2o3manSn2k+3YiCG23ilY&#10;LQUwdJU3rasVfH48LSSwmLQzuvMOFVwwwr68vip0bvzZveN4SDWjEBdzraBJqc85j1WDVsel79GR&#10;9+WD1YlkqLkJ+kzhtuOZEHfc6tbRh0b3+NBg9X0YrAJzOW4ep58wvmaDEW9p8C9b/azU7c10vwOW&#10;cEp/MMz1qTqU1OnkB2ci6xQsMrkmlAwhN8BmYiUlzTvN13oLvCz4/xHlLwAAAP//AwBQSwECLQAU&#10;AAYACAAAACEAtoM4kv4AAADhAQAAEwAAAAAAAAAAAAAAAAAAAAAAW0NvbnRlbnRfVHlwZXNdLnht&#10;bFBLAQItABQABgAIAAAAIQA4/SH/1gAAAJQBAAALAAAAAAAAAAAAAAAAAC8BAABfcmVscy8ucmVs&#10;c1BLAQItABQABgAIAAAAIQAdZrATlQIAAI8FAAAOAAAAAAAAAAAAAAAAAC4CAABkcnMvZTJvRG9j&#10;LnhtbFBLAQItABQABgAIAAAAIQAy3Ytt4AAAAAwBAAAPAAAAAAAAAAAAAAAAAO8EAABkcnMvZG93&#10;bnJldi54bWxQSwUGAAAAAAQABADzAAAA/AUAAAAA&#10;" o:allowincell="f" path="m,l11906,e" filled="f" strokecolor="#8b0d19" strokeweight="5pt">
              <v:path arrowok="t" o:connecttype="custom" o:connectlocs="0,0;7724775,0" o:connectangles="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4E2D"/>
    <w:multiLevelType w:val="multilevel"/>
    <w:tmpl w:val="BD1A3712"/>
    <w:styleLink w:val="List51"/>
    <w:lvl w:ilvl="0">
      <w:start w:val="1"/>
      <w:numFmt w:val="decimal"/>
      <w:lvlText w:val="%1."/>
      <w:lvlJc w:val="left"/>
      <w:pPr>
        <w:tabs>
          <w:tab w:val="num" w:pos="714"/>
        </w:tabs>
        <w:ind w:left="714" w:hanging="357"/>
      </w:pPr>
      <w:rPr>
        <w:position w:val="0"/>
        <w:sz w:val="20"/>
        <w:szCs w:val="20"/>
        <w:lang w:val="fr-FR"/>
      </w:rPr>
    </w:lvl>
    <w:lvl w:ilvl="1">
      <w:start w:val="1"/>
      <w:numFmt w:val="bullet"/>
      <w:lvlText w:val="o"/>
      <w:lvlJc w:val="left"/>
      <w:pPr>
        <w:tabs>
          <w:tab w:val="num" w:pos="1380"/>
        </w:tabs>
        <w:ind w:left="1380" w:hanging="300"/>
      </w:pPr>
      <w:rPr>
        <w:position w:val="0"/>
        <w:sz w:val="20"/>
        <w:szCs w:val="20"/>
        <w:lang w:val="fr-FR"/>
      </w:rPr>
    </w:lvl>
    <w:lvl w:ilvl="2">
      <w:start w:val="1"/>
      <w:numFmt w:val="bullet"/>
      <w:lvlText w:val="▪"/>
      <w:lvlJc w:val="left"/>
      <w:pPr>
        <w:tabs>
          <w:tab w:val="num" w:pos="2100"/>
        </w:tabs>
        <w:ind w:left="2100" w:hanging="300"/>
      </w:pPr>
      <w:rPr>
        <w:position w:val="0"/>
        <w:sz w:val="20"/>
        <w:szCs w:val="20"/>
        <w:lang w:val="fr-FR"/>
      </w:rPr>
    </w:lvl>
    <w:lvl w:ilvl="3">
      <w:start w:val="1"/>
      <w:numFmt w:val="bullet"/>
      <w:lvlText w:val="•"/>
      <w:lvlJc w:val="left"/>
      <w:pPr>
        <w:tabs>
          <w:tab w:val="num" w:pos="2820"/>
        </w:tabs>
        <w:ind w:left="2820" w:hanging="300"/>
      </w:pPr>
      <w:rPr>
        <w:position w:val="0"/>
        <w:sz w:val="20"/>
        <w:szCs w:val="20"/>
        <w:lang w:val="fr-FR"/>
      </w:rPr>
    </w:lvl>
    <w:lvl w:ilvl="4">
      <w:start w:val="1"/>
      <w:numFmt w:val="bullet"/>
      <w:lvlText w:val="o"/>
      <w:lvlJc w:val="left"/>
      <w:pPr>
        <w:tabs>
          <w:tab w:val="num" w:pos="3540"/>
        </w:tabs>
        <w:ind w:left="3540" w:hanging="300"/>
      </w:pPr>
      <w:rPr>
        <w:position w:val="0"/>
        <w:sz w:val="20"/>
        <w:szCs w:val="20"/>
        <w:lang w:val="fr-FR"/>
      </w:rPr>
    </w:lvl>
    <w:lvl w:ilvl="5">
      <w:start w:val="1"/>
      <w:numFmt w:val="bullet"/>
      <w:lvlText w:val="▪"/>
      <w:lvlJc w:val="left"/>
      <w:pPr>
        <w:tabs>
          <w:tab w:val="num" w:pos="4260"/>
        </w:tabs>
        <w:ind w:left="4260" w:hanging="300"/>
      </w:pPr>
      <w:rPr>
        <w:position w:val="0"/>
        <w:sz w:val="20"/>
        <w:szCs w:val="20"/>
        <w:lang w:val="fr-FR"/>
      </w:rPr>
    </w:lvl>
    <w:lvl w:ilvl="6">
      <w:start w:val="1"/>
      <w:numFmt w:val="bullet"/>
      <w:lvlText w:val="•"/>
      <w:lvlJc w:val="left"/>
      <w:pPr>
        <w:tabs>
          <w:tab w:val="num" w:pos="4980"/>
        </w:tabs>
        <w:ind w:left="4980" w:hanging="300"/>
      </w:pPr>
      <w:rPr>
        <w:position w:val="0"/>
        <w:sz w:val="20"/>
        <w:szCs w:val="20"/>
        <w:lang w:val="fr-FR"/>
      </w:rPr>
    </w:lvl>
    <w:lvl w:ilvl="7">
      <w:start w:val="1"/>
      <w:numFmt w:val="bullet"/>
      <w:lvlText w:val="o"/>
      <w:lvlJc w:val="left"/>
      <w:pPr>
        <w:tabs>
          <w:tab w:val="num" w:pos="5700"/>
        </w:tabs>
        <w:ind w:left="5700" w:hanging="300"/>
      </w:pPr>
      <w:rPr>
        <w:position w:val="0"/>
        <w:sz w:val="20"/>
        <w:szCs w:val="20"/>
        <w:lang w:val="fr-FR"/>
      </w:rPr>
    </w:lvl>
    <w:lvl w:ilvl="8">
      <w:start w:val="1"/>
      <w:numFmt w:val="bullet"/>
      <w:lvlText w:val="▪"/>
      <w:lvlJc w:val="left"/>
      <w:pPr>
        <w:tabs>
          <w:tab w:val="num" w:pos="6420"/>
        </w:tabs>
        <w:ind w:left="6420" w:hanging="300"/>
      </w:pPr>
      <w:rPr>
        <w:position w:val="0"/>
        <w:sz w:val="20"/>
        <w:szCs w:val="20"/>
        <w:lang w:val="fr-FR"/>
      </w:rPr>
    </w:lvl>
  </w:abstractNum>
  <w:abstractNum w:abstractNumId="1" w15:restartNumberingAfterBreak="0">
    <w:nsid w:val="07EB05D5"/>
    <w:multiLevelType w:val="multilevel"/>
    <w:tmpl w:val="C818CD04"/>
    <w:lvl w:ilvl="0">
      <w:start w:val="1"/>
      <w:numFmt w:val="decimal"/>
      <w:lvlText w:val="%1."/>
      <w:lvlJc w:val="left"/>
      <w:pPr>
        <w:tabs>
          <w:tab w:val="num" w:pos="660"/>
        </w:tabs>
        <w:ind w:left="660" w:hanging="300"/>
      </w:pPr>
      <w:rPr>
        <w:position w:val="0"/>
        <w:sz w:val="20"/>
        <w:szCs w:val="20"/>
        <w:lang w:val="fr-FR"/>
      </w:rPr>
    </w:lvl>
    <w:lvl w:ilvl="1">
      <w:numFmt w:val="bullet"/>
      <w:lvlText w:val="-"/>
      <w:lvlJc w:val="left"/>
      <w:pPr>
        <w:tabs>
          <w:tab w:val="num" w:pos="1440"/>
        </w:tabs>
        <w:ind w:left="1440" w:hanging="360"/>
      </w:pPr>
      <w:rPr>
        <w:position w:val="0"/>
        <w:sz w:val="22"/>
        <w:szCs w:val="22"/>
        <w:lang w:val="fr-FR"/>
      </w:rPr>
    </w:lvl>
    <w:lvl w:ilvl="2">
      <w:start w:val="1"/>
      <w:numFmt w:val="lowerRoman"/>
      <w:lvlText w:val="%3."/>
      <w:lvlJc w:val="left"/>
      <w:pPr>
        <w:tabs>
          <w:tab w:val="num" w:pos="2111"/>
        </w:tabs>
        <w:ind w:left="2111" w:hanging="247"/>
      </w:pPr>
      <w:rPr>
        <w:position w:val="0"/>
        <w:sz w:val="20"/>
        <w:szCs w:val="20"/>
        <w:lang w:val="fr-FR"/>
      </w:rPr>
    </w:lvl>
    <w:lvl w:ilvl="3">
      <w:start w:val="1"/>
      <w:numFmt w:val="decimal"/>
      <w:lvlText w:val="%4."/>
      <w:lvlJc w:val="left"/>
      <w:pPr>
        <w:tabs>
          <w:tab w:val="num" w:pos="2820"/>
        </w:tabs>
        <w:ind w:left="2820" w:hanging="300"/>
      </w:pPr>
      <w:rPr>
        <w:position w:val="0"/>
        <w:sz w:val="20"/>
        <w:szCs w:val="20"/>
        <w:lang w:val="fr-FR"/>
      </w:rPr>
    </w:lvl>
    <w:lvl w:ilvl="4">
      <w:start w:val="1"/>
      <w:numFmt w:val="lowerLetter"/>
      <w:lvlText w:val="%5."/>
      <w:lvlJc w:val="left"/>
      <w:pPr>
        <w:tabs>
          <w:tab w:val="num" w:pos="3540"/>
        </w:tabs>
        <w:ind w:left="3540" w:hanging="300"/>
      </w:pPr>
      <w:rPr>
        <w:position w:val="0"/>
        <w:sz w:val="20"/>
        <w:szCs w:val="20"/>
        <w:lang w:val="fr-FR"/>
      </w:rPr>
    </w:lvl>
    <w:lvl w:ilvl="5">
      <w:start w:val="1"/>
      <w:numFmt w:val="lowerRoman"/>
      <w:lvlText w:val="%6."/>
      <w:lvlJc w:val="left"/>
      <w:pPr>
        <w:tabs>
          <w:tab w:val="num" w:pos="4271"/>
        </w:tabs>
        <w:ind w:left="4271" w:hanging="247"/>
      </w:pPr>
      <w:rPr>
        <w:position w:val="0"/>
        <w:sz w:val="20"/>
        <w:szCs w:val="20"/>
        <w:lang w:val="fr-FR"/>
      </w:rPr>
    </w:lvl>
    <w:lvl w:ilvl="6">
      <w:start w:val="1"/>
      <w:numFmt w:val="decimal"/>
      <w:lvlText w:val="%7."/>
      <w:lvlJc w:val="left"/>
      <w:pPr>
        <w:tabs>
          <w:tab w:val="num" w:pos="4980"/>
        </w:tabs>
        <w:ind w:left="4980" w:hanging="300"/>
      </w:pPr>
      <w:rPr>
        <w:position w:val="0"/>
        <w:sz w:val="20"/>
        <w:szCs w:val="20"/>
        <w:lang w:val="fr-FR"/>
      </w:rPr>
    </w:lvl>
    <w:lvl w:ilvl="7">
      <w:start w:val="1"/>
      <w:numFmt w:val="lowerLetter"/>
      <w:lvlText w:val="%8."/>
      <w:lvlJc w:val="left"/>
      <w:pPr>
        <w:tabs>
          <w:tab w:val="num" w:pos="5700"/>
        </w:tabs>
        <w:ind w:left="5700" w:hanging="300"/>
      </w:pPr>
      <w:rPr>
        <w:position w:val="0"/>
        <w:sz w:val="20"/>
        <w:szCs w:val="20"/>
        <w:lang w:val="fr-FR"/>
      </w:rPr>
    </w:lvl>
    <w:lvl w:ilvl="8">
      <w:start w:val="1"/>
      <w:numFmt w:val="lowerRoman"/>
      <w:lvlText w:val="%9."/>
      <w:lvlJc w:val="left"/>
      <w:pPr>
        <w:tabs>
          <w:tab w:val="num" w:pos="6431"/>
        </w:tabs>
        <w:ind w:left="6431" w:hanging="247"/>
      </w:pPr>
      <w:rPr>
        <w:position w:val="0"/>
        <w:sz w:val="20"/>
        <w:szCs w:val="20"/>
        <w:lang w:val="fr-FR"/>
      </w:rPr>
    </w:lvl>
  </w:abstractNum>
  <w:abstractNum w:abstractNumId="2" w15:restartNumberingAfterBreak="0">
    <w:nsid w:val="0C385FD7"/>
    <w:multiLevelType w:val="multilevel"/>
    <w:tmpl w:val="27345578"/>
    <w:lvl w:ilvl="0">
      <w:start w:val="1"/>
      <w:numFmt w:val="decimal"/>
      <w:lvlText w:val="%1."/>
      <w:lvlJc w:val="left"/>
      <w:pPr>
        <w:tabs>
          <w:tab w:val="num" w:pos="660"/>
        </w:tabs>
        <w:ind w:left="660" w:hanging="300"/>
      </w:pPr>
      <w:rPr>
        <w:position w:val="0"/>
        <w:sz w:val="20"/>
        <w:szCs w:val="20"/>
        <w:lang w:val="fr-FR"/>
      </w:rPr>
    </w:lvl>
    <w:lvl w:ilvl="1">
      <w:numFmt w:val="bullet"/>
      <w:lvlText w:val="-"/>
      <w:lvlJc w:val="left"/>
      <w:pPr>
        <w:tabs>
          <w:tab w:val="num" w:pos="1440"/>
        </w:tabs>
        <w:ind w:left="1440" w:hanging="360"/>
      </w:pPr>
      <w:rPr>
        <w:position w:val="0"/>
        <w:sz w:val="22"/>
        <w:szCs w:val="22"/>
        <w:lang w:val="fr-FR"/>
      </w:rPr>
    </w:lvl>
    <w:lvl w:ilvl="2">
      <w:start w:val="1"/>
      <w:numFmt w:val="lowerRoman"/>
      <w:lvlText w:val="%3."/>
      <w:lvlJc w:val="left"/>
      <w:pPr>
        <w:tabs>
          <w:tab w:val="num" w:pos="2111"/>
        </w:tabs>
        <w:ind w:left="2111" w:hanging="247"/>
      </w:pPr>
      <w:rPr>
        <w:position w:val="0"/>
        <w:sz w:val="20"/>
        <w:szCs w:val="20"/>
        <w:lang w:val="fr-FR"/>
      </w:rPr>
    </w:lvl>
    <w:lvl w:ilvl="3">
      <w:start w:val="1"/>
      <w:numFmt w:val="decimal"/>
      <w:lvlText w:val="%4."/>
      <w:lvlJc w:val="left"/>
      <w:pPr>
        <w:tabs>
          <w:tab w:val="num" w:pos="2820"/>
        </w:tabs>
        <w:ind w:left="2820" w:hanging="300"/>
      </w:pPr>
      <w:rPr>
        <w:position w:val="0"/>
        <w:sz w:val="20"/>
        <w:szCs w:val="20"/>
        <w:lang w:val="fr-FR"/>
      </w:rPr>
    </w:lvl>
    <w:lvl w:ilvl="4">
      <w:start w:val="1"/>
      <w:numFmt w:val="lowerLetter"/>
      <w:lvlText w:val="%5."/>
      <w:lvlJc w:val="left"/>
      <w:pPr>
        <w:tabs>
          <w:tab w:val="num" w:pos="3540"/>
        </w:tabs>
        <w:ind w:left="3540" w:hanging="300"/>
      </w:pPr>
      <w:rPr>
        <w:position w:val="0"/>
        <w:sz w:val="20"/>
        <w:szCs w:val="20"/>
        <w:lang w:val="fr-FR"/>
      </w:rPr>
    </w:lvl>
    <w:lvl w:ilvl="5">
      <w:start w:val="1"/>
      <w:numFmt w:val="lowerRoman"/>
      <w:lvlText w:val="%6."/>
      <w:lvlJc w:val="left"/>
      <w:pPr>
        <w:tabs>
          <w:tab w:val="num" w:pos="4271"/>
        </w:tabs>
        <w:ind w:left="4271" w:hanging="247"/>
      </w:pPr>
      <w:rPr>
        <w:position w:val="0"/>
        <w:sz w:val="20"/>
        <w:szCs w:val="20"/>
        <w:lang w:val="fr-FR"/>
      </w:rPr>
    </w:lvl>
    <w:lvl w:ilvl="6">
      <w:start w:val="1"/>
      <w:numFmt w:val="decimal"/>
      <w:lvlText w:val="%7."/>
      <w:lvlJc w:val="left"/>
      <w:pPr>
        <w:tabs>
          <w:tab w:val="num" w:pos="4980"/>
        </w:tabs>
        <w:ind w:left="4980" w:hanging="300"/>
      </w:pPr>
      <w:rPr>
        <w:position w:val="0"/>
        <w:sz w:val="20"/>
        <w:szCs w:val="20"/>
        <w:lang w:val="fr-FR"/>
      </w:rPr>
    </w:lvl>
    <w:lvl w:ilvl="7">
      <w:start w:val="1"/>
      <w:numFmt w:val="lowerLetter"/>
      <w:lvlText w:val="%8."/>
      <w:lvlJc w:val="left"/>
      <w:pPr>
        <w:tabs>
          <w:tab w:val="num" w:pos="5700"/>
        </w:tabs>
        <w:ind w:left="5700" w:hanging="300"/>
      </w:pPr>
      <w:rPr>
        <w:position w:val="0"/>
        <w:sz w:val="20"/>
        <w:szCs w:val="20"/>
        <w:lang w:val="fr-FR"/>
      </w:rPr>
    </w:lvl>
    <w:lvl w:ilvl="8">
      <w:start w:val="1"/>
      <w:numFmt w:val="lowerRoman"/>
      <w:lvlText w:val="%9."/>
      <w:lvlJc w:val="left"/>
      <w:pPr>
        <w:tabs>
          <w:tab w:val="num" w:pos="6431"/>
        </w:tabs>
        <w:ind w:left="6431" w:hanging="247"/>
      </w:pPr>
      <w:rPr>
        <w:position w:val="0"/>
        <w:sz w:val="20"/>
        <w:szCs w:val="20"/>
        <w:lang w:val="fr-FR"/>
      </w:rPr>
    </w:lvl>
  </w:abstractNum>
  <w:abstractNum w:abstractNumId="3" w15:restartNumberingAfterBreak="0">
    <w:nsid w:val="0D6F7BA1"/>
    <w:multiLevelType w:val="hybridMultilevel"/>
    <w:tmpl w:val="46323D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B80251"/>
    <w:multiLevelType w:val="multilevel"/>
    <w:tmpl w:val="4942E4FC"/>
    <w:styleLink w:val="List0"/>
    <w:lvl w:ilvl="0">
      <w:start w:val="1"/>
      <w:numFmt w:val="upperRoman"/>
      <w:lvlText w:val="%1."/>
      <w:lvlJc w:val="left"/>
      <w:pPr>
        <w:tabs>
          <w:tab w:val="num" w:pos="1080"/>
        </w:tabs>
        <w:ind w:left="1080" w:hanging="720"/>
      </w:pPr>
      <w:rPr>
        <w:rFonts w:ascii="Times New Roman Bold" w:eastAsia="Times New Roman Bold" w:hAnsi="Times New Roman Bold" w:cs="Times New Roman Bold"/>
        <w:b w:val="0"/>
        <w:bCs w:val="0"/>
        <w:position w:val="0"/>
        <w:sz w:val="24"/>
        <w:szCs w:val="24"/>
        <w:u w:val="single"/>
        <w:lang w:val="fr-FR"/>
      </w:rPr>
    </w:lvl>
    <w:lvl w:ilvl="1">
      <w:start w:val="1"/>
      <w:numFmt w:val="lowerLetter"/>
      <w:lvlText w:val="%2."/>
      <w:lvlJc w:val="left"/>
      <w:pPr>
        <w:tabs>
          <w:tab w:val="num" w:pos="1440"/>
        </w:tabs>
        <w:ind w:left="1440" w:hanging="360"/>
      </w:pPr>
      <w:rPr>
        <w:rFonts w:ascii="Times New Roman Bold" w:eastAsia="Times New Roman Bold" w:hAnsi="Times New Roman Bold" w:cs="Times New Roman Bold"/>
        <w:b w:val="0"/>
        <w:bCs w:val="0"/>
        <w:position w:val="0"/>
        <w:sz w:val="24"/>
        <w:szCs w:val="24"/>
        <w:u w:val="single"/>
        <w:lang w:val="fr-FR"/>
      </w:rPr>
    </w:lvl>
    <w:lvl w:ilvl="2">
      <w:start w:val="1"/>
      <w:numFmt w:val="lowerRoman"/>
      <w:lvlText w:val="%3."/>
      <w:lvlJc w:val="left"/>
      <w:pPr>
        <w:tabs>
          <w:tab w:val="num" w:pos="2160"/>
        </w:tabs>
        <w:ind w:left="2160" w:hanging="296"/>
      </w:pPr>
      <w:rPr>
        <w:rFonts w:ascii="Times New Roman Bold" w:eastAsia="Times New Roman Bold" w:hAnsi="Times New Roman Bold" w:cs="Times New Roman Bold"/>
        <w:b w:val="0"/>
        <w:bCs w:val="0"/>
        <w:position w:val="0"/>
        <w:sz w:val="24"/>
        <w:szCs w:val="24"/>
        <w:u w:val="single"/>
        <w:lang w:val="fr-FR"/>
      </w:rPr>
    </w:lvl>
    <w:lvl w:ilvl="3">
      <w:start w:val="1"/>
      <w:numFmt w:val="decimal"/>
      <w:lvlText w:val="%4."/>
      <w:lvlJc w:val="left"/>
      <w:pPr>
        <w:tabs>
          <w:tab w:val="num" w:pos="2880"/>
        </w:tabs>
        <w:ind w:left="2880" w:hanging="360"/>
      </w:pPr>
      <w:rPr>
        <w:rFonts w:ascii="Times New Roman Bold" w:eastAsia="Times New Roman Bold" w:hAnsi="Times New Roman Bold" w:cs="Times New Roman Bold"/>
        <w:b w:val="0"/>
        <w:bCs w:val="0"/>
        <w:position w:val="0"/>
        <w:sz w:val="24"/>
        <w:szCs w:val="24"/>
        <w:u w:val="single"/>
        <w:lang w:val="fr-FR"/>
      </w:rPr>
    </w:lvl>
    <w:lvl w:ilvl="4">
      <w:start w:val="1"/>
      <w:numFmt w:val="lowerLetter"/>
      <w:lvlText w:val="%5."/>
      <w:lvlJc w:val="left"/>
      <w:pPr>
        <w:tabs>
          <w:tab w:val="num" w:pos="3600"/>
        </w:tabs>
        <w:ind w:left="3600" w:hanging="360"/>
      </w:pPr>
      <w:rPr>
        <w:rFonts w:ascii="Times New Roman Bold" w:eastAsia="Times New Roman Bold" w:hAnsi="Times New Roman Bold" w:cs="Times New Roman Bold"/>
        <w:b w:val="0"/>
        <w:bCs w:val="0"/>
        <w:position w:val="0"/>
        <w:sz w:val="24"/>
        <w:szCs w:val="24"/>
        <w:u w:val="single"/>
        <w:lang w:val="fr-FR"/>
      </w:rPr>
    </w:lvl>
    <w:lvl w:ilvl="5">
      <w:start w:val="1"/>
      <w:numFmt w:val="lowerRoman"/>
      <w:lvlText w:val="%6."/>
      <w:lvlJc w:val="left"/>
      <w:pPr>
        <w:tabs>
          <w:tab w:val="num" w:pos="4320"/>
        </w:tabs>
        <w:ind w:left="4320" w:hanging="296"/>
      </w:pPr>
      <w:rPr>
        <w:rFonts w:ascii="Times New Roman Bold" w:eastAsia="Times New Roman Bold" w:hAnsi="Times New Roman Bold" w:cs="Times New Roman Bold"/>
        <w:b w:val="0"/>
        <w:bCs w:val="0"/>
        <w:position w:val="0"/>
        <w:sz w:val="24"/>
        <w:szCs w:val="24"/>
        <w:u w:val="single"/>
        <w:lang w:val="fr-FR"/>
      </w:rPr>
    </w:lvl>
    <w:lvl w:ilvl="6">
      <w:start w:val="1"/>
      <w:numFmt w:val="decimal"/>
      <w:lvlText w:val="%7."/>
      <w:lvlJc w:val="left"/>
      <w:pPr>
        <w:tabs>
          <w:tab w:val="num" w:pos="5040"/>
        </w:tabs>
        <w:ind w:left="5040" w:hanging="360"/>
      </w:pPr>
      <w:rPr>
        <w:rFonts w:ascii="Times New Roman Bold" w:eastAsia="Times New Roman Bold" w:hAnsi="Times New Roman Bold" w:cs="Times New Roman Bold"/>
        <w:b w:val="0"/>
        <w:bCs w:val="0"/>
        <w:position w:val="0"/>
        <w:sz w:val="24"/>
        <w:szCs w:val="24"/>
        <w:u w:val="single"/>
        <w:lang w:val="fr-FR"/>
      </w:rPr>
    </w:lvl>
    <w:lvl w:ilvl="7">
      <w:start w:val="1"/>
      <w:numFmt w:val="lowerLetter"/>
      <w:lvlText w:val="%8."/>
      <w:lvlJc w:val="left"/>
      <w:pPr>
        <w:tabs>
          <w:tab w:val="num" w:pos="5760"/>
        </w:tabs>
        <w:ind w:left="5760" w:hanging="360"/>
      </w:pPr>
      <w:rPr>
        <w:rFonts w:ascii="Times New Roman Bold" w:eastAsia="Times New Roman Bold" w:hAnsi="Times New Roman Bold" w:cs="Times New Roman Bold"/>
        <w:b w:val="0"/>
        <w:bCs w:val="0"/>
        <w:position w:val="0"/>
        <w:sz w:val="24"/>
        <w:szCs w:val="24"/>
        <w:u w:val="single"/>
        <w:lang w:val="fr-FR"/>
      </w:rPr>
    </w:lvl>
    <w:lvl w:ilvl="8">
      <w:start w:val="1"/>
      <w:numFmt w:val="lowerRoman"/>
      <w:lvlText w:val="%9."/>
      <w:lvlJc w:val="left"/>
      <w:pPr>
        <w:tabs>
          <w:tab w:val="num" w:pos="6480"/>
        </w:tabs>
        <w:ind w:left="6480" w:hanging="296"/>
      </w:pPr>
      <w:rPr>
        <w:rFonts w:ascii="Times New Roman Bold" w:eastAsia="Times New Roman Bold" w:hAnsi="Times New Roman Bold" w:cs="Times New Roman Bold"/>
        <w:b w:val="0"/>
        <w:bCs w:val="0"/>
        <w:position w:val="0"/>
        <w:sz w:val="24"/>
        <w:szCs w:val="24"/>
        <w:u w:val="single"/>
        <w:lang w:val="fr-FR"/>
      </w:rPr>
    </w:lvl>
  </w:abstractNum>
  <w:abstractNum w:abstractNumId="5" w15:restartNumberingAfterBreak="0">
    <w:nsid w:val="186766B4"/>
    <w:multiLevelType w:val="multilevel"/>
    <w:tmpl w:val="A456FAAA"/>
    <w:styleLink w:val="List21"/>
    <w:lvl w:ilvl="0">
      <w:start w:val="1"/>
      <w:numFmt w:val="decimal"/>
      <w:lvlText w:val="%1."/>
      <w:lvlJc w:val="left"/>
      <w:pPr>
        <w:tabs>
          <w:tab w:val="num" w:pos="720"/>
        </w:tabs>
        <w:ind w:left="720" w:hanging="360"/>
      </w:pPr>
      <w:rPr>
        <w:color w:val="000000"/>
        <w:position w:val="0"/>
        <w:sz w:val="20"/>
        <w:szCs w:val="20"/>
        <w:u w:color="000000"/>
        <w:lang w:val="fr-FR"/>
      </w:rPr>
    </w:lvl>
    <w:lvl w:ilvl="1">
      <w:start w:val="1"/>
      <w:numFmt w:val="bullet"/>
      <w:lvlText w:val="o"/>
      <w:lvlJc w:val="left"/>
      <w:pPr>
        <w:tabs>
          <w:tab w:val="num" w:pos="1380"/>
        </w:tabs>
        <w:ind w:left="1380" w:hanging="300"/>
      </w:pPr>
      <w:rPr>
        <w:color w:val="000000"/>
        <w:position w:val="0"/>
        <w:sz w:val="20"/>
        <w:szCs w:val="20"/>
        <w:u w:color="000000"/>
        <w:lang w:val="fr-FR"/>
      </w:rPr>
    </w:lvl>
    <w:lvl w:ilvl="2">
      <w:start w:val="1"/>
      <w:numFmt w:val="bullet"/>
      <w:lvlText w:val="▪"/>
      <w:lvlJc w:val="left"/>
      <w:pPr>
        <w:tabs>
          <w:tab w:val="num" w:pos="2100"/>
        </w:tabs>
        <w:ind w:left="2100" w:hanging="300"/>
      </w:pPr>
      <w:rPr>
        <w:color w:val="000000"/>
        <w:position w:val="0"/>
        <w:sz w:val="20"/>
        <w:szCs w:val="20"/>
        <w:u w:color="000000"/>
        <w:lang w:val="fr-FR"/>
      </w:rPr>
    </w:lvl>
    <w:lvl w:ilvl="3">
      <w:start w:val="1"/>
      <w:numFmt w:val="bullet"/>
      <w:lvlText w:val="▪"/>
      <w:lvlJc w:val="left"/>
      <w:pPr>
        <w:tabs>
          <w:tab w:val="num" w:pos="2820"/>
        </w:tabs>
        <w:ind w:left="2820" w:hanging="300"/>
      </w:pPr>
      <w:rPr>
        <w:color w:val="000000"/>
        <w:position w:val="0"/>
        <w:sz w:val="20"/>
        <w:szCs w:val="20"/>
        <w:u w:color="000000"/>
        <w:lang w:val="fr-FR"/>
      </w:rPr>
    </w:lvl>
    <w:lvl w:ilvl="4">
      <w:start w:val="1"/>
      <w:numFmt w:val="bullet"/>
      <w:lvlText w:val="▪"/>
      <w:lvlJc w:val="left"/>
      <w:pPr>
        <w:tabs>
          <w:tab w:val="num" w:pos="3540"/>
        </w:tabs>
        <w:ind w:left="3540" w:hanging="300"/>
      </w:pPr>
      <w:rPr>
        <w:color w:val="000000"/>
        <w:position w:val="0"/>
        <w:sz w:val="20"/>
        <w:szCs w:val="20"/>
        <w:u w:color="000000"/>
        <w:lang w:val="fr-FR"/>
      </w:rPr>
    </w:lvl>
    <w:lvl w:ilvl="5">
      <w:start w:val="1"/>
      <w:numFmt w:val="bullet"/>
      <w:lvlText w:val="▪"/>
      <w:lvlJc w:val="left"/>
      <w:pPr>
        <w:tabs>
          <w:tab w:val="num" w:pos="4260"/>
        </w:tabs>
        <w:ind w:left="4260" w:hanging="300"/>
      </w:pPr>
      <w:rPr>
        <w:color w:val="000000"/>
        <w:position w:val="0"/>
        <w:sz w:val="20"/>
        <w:szCs w:val="20"/>
        <w:u w:color="000000"/>
        <w:lang w:val="fr-FR"/>
      </w:rPr>
    </w:lvl>
    <w:lvl w:ilvl="6">
      <w:start w:val="1"/>
      <w:numFmt w:val="bullet"/>
      <w:lvlText w:val="▪"/>
      <w:lvlJc w:val="left"/>
      <w:pPr>
        <w:tabs>
          <w:tab w:val="num" w:pos="4980"/>
        </w:tabs>
        <w:ind w:left="4980" w:hanging="300"/>
      </w:pPr>
      <w:rPr>
        <w:color w:val="000000"/>
        <w:position w:val="0"/>
        <w:sz w:val="20"/>
        <w:szCs w:val="20"/>
        <w:u w:color="000000"/>
        <w:lang w:val="fr-FR"/>
      </w:rPr>
    </w:lvl>
    <w:lvl w:ilvl="7">
      <w:start w:val="1"/>
      <w:numFmt w:val="bullet"/>
      <w:lvlText w:val="▪"/>
      <w:lvlJc w:val="left"/>
      <w:pPr>
        <w:tabs>
          <w:tab w:val="num" w:pos="5700"/>
        </w:tabs>
        <w:ind w:left="5700" w:hanging="300"/>
      </w:pPr>
      <w:rPr>
        <w:color w:val="000000"/>
        <w:position w:val="0"/>
        <w:sz w:val="20"/>
        <w:szCs w:val="20"/>
        <w:u w:color="000000"/>
        <w:lang w:val="fr-FR"/>
      </w:rPr>
    </w:lvl>
    <w:lvl w:ilvl="8">
      <w:start w:val="1"/>
      <w:numFmt w:val="bullet"/>
      <w:lvlText w:val="▪"/>
      <w:lvlJc w:val="left"/>
      <w:pPr>
        <w:tabs>
          <w:tab w:val="num" w:pos="6420"/>
        </w:tabs>
        <w:ind w:left="6420" w:hanging="300"/>
      </w:pPr>
      <w:rPr>
        <w:color w:val="000000"/>
        <w:position w:val="0"/>
        <w:sz w:val="20"/>
        <w:szCs w:val="20"/>
        <w:u w:color="000000"/>
        <w:lang w:val="fr-FR"/>
      </w:rPr>
    </w:lvl>
  </w:abstractNum>
  <w:abstractNum w:abstractNumId="6" w15:restartNumberingAfterBreak="0">
    <w:nsid w:val="1B234507"/>
    <w:multiLevelType w:val="multilevel"/>
    <w:tmpl w:val="9F66983E"/>
    <w:styleLink w:val="List31"/>
    <w:lvl w:ilvl="0">
      <w:start w:val="1"/>
      <w:numFmt w:val="decimal"/>
      <w:lvlText w:val="%1."/>
      <w:lvlJc w:val="left"/>
      <w:pPr>
        <w:tabs>
          <w:tab w:val="num" w:pos="720"/>
        </w:tabs>
        <w:ind w:left="720" w:hanging="360"/>
      </w:pPr>
      <w:rPr>
        <w:position w:val="0"/>
        <w:sz w:val="20"/>
        <w:szCs w:val="20"/>
        <w:lang w:val="fr-FR"/>
      </w:rPr>
    </w:lvl>
    <w:lvl w:ilvl="1">
      <w:start w:val="1"/>
      <w:numFmt w:val="bullet"/>
      <w:lvlText w:val="-"/>
      <w:lvlJc w:val="left"/>
      <w:pPr>
        <w:tabs>
          <w:tab w:val="num" w:pos="1380"/>
        </w:tabs>
        <w:ind w:left="1380" w:hanging="300"/>
      </w:pPr>
      <w:rPr>
        <w:position w:val="0"/>
        <w:sz w:val="20"/>
        <w:szCs w:val="20"/>
        <w:lang w:val="fr-FR"/>
      </w:rPr>
    </w:lvl>
    <w:lvl w:ilvl="2">
      <w:start w:val="1"/>
      <w:numFmt w:val="lowerRoman"/>
      <w:lvlText w:val="%3."/>
      <w:lvlJc w:val="left"/>
      <w:pPr>
        <w:tabs>
          <w:tab w:val="num" w:pos="2111"/>
        </w:tabs>
        <w:ind w:left="2111" w:hanging="247"/>
      </w:pPr>
      <w:rPr>
        <w:position w:val="0"/>
        <w:sz w:val="20"/>
        <w:szCs w:val="20"/>
        <w:lang w:val="fr-FR"/>
      </w:rPr>
    </w:lvl>
    <w:lvl w:ilvl="3">
      <w:start w:val="1"/>
      <w:numFmt w:val="decimal"/>
      <w:lvlText w:val="%4."/>
      <w:lvlJc w:val="left"/>
      <w:pPr>
        <w:tabs>
          <w:tab w:val="num" w:pos="2820"/>
        </w:tabs>
        <w:ind w:left="2820" w:hanging="300"/>
      </w:pPr>
      <w:rPr>
        <w:position w:val="0"/>
        <w:sz w:val="20"/>
        <w:szCs w:val="20"/>
        <w:lang w:val="fr-FR"/>
      </w:rPr>
    </w:lvl>
    <w:lvl w:ilvl="4">
      <w:start w:val="1"/>
      <w:numFmt w:val="lowerLetter"/>
      <w:lvlText w:val="%5."/>
      <w:lvlJc w:val="left"/>
      <w:pPr>
        <w:tabs>
          <w:tab w:val="num" w:pos="3540"/>
        </w:tabs>
        <w:ind w:left="3540" w:hanging="300"/>
      </w:pPr>
      <w:rPr>
        <w:position w:val="0"/>
        <w:sz w:val="20"/>
        <w:szCs w:val="20"/>
        <w:lang w:val="fr-FR"/>
      </w:rPr>
    </w:lvl>
    <w:lvl w:ilvl="5">
      <w:start w:val="1"/>
      <w:numFmt w:val="lowerRoman"/>
      <w:lvlText w:val="%6."/>
      <w:lvlJc w:val="left"/>
      <w:pPr>
        <w:tabs>
          <w:tab w:val="num" w:pos="4271"/>
        </w:tabs>
        <w:ind w:left="4271" w:hanging="247"/>
      </w:pPr>
      <w:rPr>
        <w:position w:val="0"/>
        <w:sz w:val="20"/>
        <w:szCs w:val="20"/>
        <w:lang w:val="fr-FR"/>
      </w:rPr>
    </w:lvl>
    <w:lvl w:ilvl="6">
      <w:start w:val="1"/>
      <w:numFmt w:val="decimal"/>
      <w:lvlText w:val="%7."/>
      <w:lvlJc w:val="left"/>
      <w:pPr>
        <w:tabs>
          <w:tab w:val="num" w:pos="4980"/>
        </w:tabs>
        <w:ind w:left="4980" w:hanging="300"/>
      </w:pPr>
      <w:rPr>
        <w:position w:val="0"/>
        <w:sz w:val="20"/>
        <w:szCs w:val="20"/>
        <w:lang w:val="fr-FR"/>
      </w:rPr>
    </w:lvl>
    <w:lvl w:ilvl="7">
      <w:start w:val="1"/>
      <w:numFmt w:val="lowerLetter"/>
      <w:lvlText w:val="%8."/>
      <w:lvlJc w:val="left"/>
      <w:pPr>
        <w:tabs>
          <w:tab w:val="num" w:pos="5700"/>
        </w:tabs>
        <w:ind w:left="5700" w:hanging="300"/>
      </w:pPr>
      <w:rPr>
        <w:position w:val="0"/>
        <w:sz w:val="20"/>
        <w:szCs w:val="20"/>
        <w:lang w:val="fr-FR"/>
      </w:rPr>
    </w:lvl>
    <w:lvl w:ilvl="8">
      <w:start w:val="1"/>
      <w:numFmt w:val="lowerRoman"/>
      <w:lvlText w:val="%9."/>
      <w:lvlJc w:val="left"/>
      <w:pPr>
        <w:tabs>
          <w:tab w:val="num" w:pos="6431"/>
        </w:tabs>
        <w:ind w:left="6431" w:hanging="247"/>
      </w:pPr>
      <w:rPr>
        <w:position w:val="0"/>
        <w:sz w:val="20"/>
        <w:szCs w:val="20"/>
        <w:lang w:val="fr-FR"/>
      </w:rPr>
    </w:lvl>
  </w:abstractNum>
  <w:abstractNum w:abstractNumId="7" w15:restartNumberingAfterBreak="0">
    <w:nsid w:val="241E44D4"/>
    <w:multiLevelType w:val="multilevel"/>
    <w:tmpl w:val="94C8408E"/>
    <w:lvl w:ilvl="0">
      <w:start w:val="1"/>
      <w:numFmt w:val="decimal"/>
      <w:lvlText w:val="%1."/>
      <w:lvlJc w:val="left"/>
      <w:pPr>
        <w:tabs>
          <w:tab w:val="num" w:pos="660"/>
        </w:tabs>
        <w:ind w:left="660" w:hanging="300"/>
      </w:pPr>
      <w:rPr>
        <w:position w:val="0"/>
        <w:sz w:val="20"/>
        <w:szCs w:val="20"/>
        <w:lang w:val="fr-FR"/>
      </w:rPr>
    </w:lvl>
    <w:lvl w:ilvl="1">
      <w:numFmt w:val="bullet"/>
      <w:lvlText w:val="-"/>
      <w:lvlJc w:val="left"/>
      <w:pPr>
        <w:tabs>
          <w:tab w:val="num" w:pos="1440"/>
        </w:tabs>
        <w:ind w:left="1440" w:hanging="360"/>
      </w:pPr>
      <w:rPr>
        <w:position w:val="0"/>
        <w:sz w:val="22"/>
        <w:szCs w:val="22"/>
        <w:lang w:val="fr-FR"/>
      </w:rPr>
    </w:lvl>
    <w:lvl w:ilvl="2">
      <w:start w:val="1"/>
      <w:numFmt w:val="lowerRoman"/>
      <w:lvlText w:val="%3."/>
      <w:lvlJc w:val="left"/>
      <w:pPr>
        <w:tabs>
          <w:tab w:val="num" w:pos="2111"/>
        </w:tabs>
        <w:ind w:left="2111" w:hanging="247"/>
      </w:pPr>
      <w:rPr>
        <w:position w:val="0"/>
        <w:sz w:val="20"/>
        <w:szCs w:val="20"/>
        <w:lang w:val="fr-FR"/>
      </w:rPr>
    </w:lvl>
    <w:lvl w:ilvl="3">
      <w:start w:val="1"/>
      <w:numFmt w:val="decimal"/>
      <w:lvlText w:val="%4."/>
      <w:lvlJc w:val="left"/>
      <w:pPr>
        <w:tabs>
          <w:tab w:val="num" w:pos="2820"/>
        </w:tabs>
        <w:ind w:left="2820" w:hanging="300"/>
      </w:pPr>
      <w:rPr>
        <w:position w:val="0"/>
        <w:sz w:val="20"/>
        <w:szCs w:val="20"/>
        <w:lang w:val="fr-FR"/>
      </w:rPr>
    </w:lvl>
    <w:lvl w:ilvl="4">
      <w:start w:val="1"/>
      <w:numFmt w:val="lowerLetter"/>
      <w:lvlText w:val="%5."/>
      <w:lvlJc w:val="left"/>
      <w:pPr>
        <w:tabs>
          <w:tab w:val="num" w:pos="3540"/>
        </w:tabs>
        <w:ind w:left="3540" w:hanging="300"/>
      </w:pPr>
      <w:rPr>
        <w:position w:val="0"/>
        <w:sz w:val="20"/>
        <w:szCs w:val="20"/>
        <w:lang w:val="fr-FR"/>
      </w:rPr>
    </w:lvl>
    <w:lvl w:ilvl="5">
      <w:start w:val="1"/>
      <w:numFmt w:val="lowerRoman"/>
      <w:lvlText w:val="%6."/>
      <w:lvlJc w:val="left"/>
      <w:pPr>
        <w:tabs>
          <w:tab w:val="num" w:pos="4271"/>
        </w:tabs>
        <w:ind w:left="4271" w:hanging="247"/>
      </w:pPr>
      <w:rPr>
        <w:position w:val="0"/>
        <w:sz w:val="20"/>
        <w:szCs w:val="20"/>
        <w:lang w:val="fr-FR"/>
      </w:rPr>
    </w:lvl>
    <w:lvl w:ilvl="6">
      <w:start w:val="1"/>
      <w:numFmt w:val="decimal"/>
      <w:lvlText w:val="%7."/>
      <w:lvlJc w:val="left"/>
      <w:pPr>
        <w:tabs>
          <w:tab w:val="num" w:pos="4980"/>
        </w:tabs>
        <w:ind w:left="4980" w:hanging="300"/>
      </w:pPr>
      <w:rPr>
        <w:position w:val="0"/>
        <w:sz w:val="20"/>
        <w:szCs w:val="20"/>
        <w:lang w:val="fr-FR"/>
      </w:rPr>
    </w:lvl>
    <w:lvl w:ilvl="7">
      <w:start w:val="1"/>
      <w:numFmt w:val="lowerLetter"/>
      <w:lvlText w:val="%8."/>
      <w:lvlJc w:val="left"/>
      <w:pPr>
        <w:tabs>
          <w:tab w:val="num" w:pos="5700"/>
        </w:tabs>
        <w:ind w:left="5700" w:hanging="300"/>
      </w:pPr>
      <w:rPr>
        <w:position w:val="0"/>
        <w:sz w:val="20"/>
        <w:szCs w:val="20"/>
        <w:lang w:val="fr-FR"/>
      </w:rPr>
    </w:lvl>
    <w:lvl w:ilvl="8">
      <w:start w:val="1"/>
      <w:numFmt w:val="lowerRoman"/>
      <w:lvlText w:val="%9."/>
      <w:lvlJc w:val="left"/>
      <w:pPr>
        <w:tabs>
          <w:tab w:val="num" w:pos="6431"/>
        </w:tabs>
        <w:ind w:left="6431" w:hanging="247"/>
      </w:pPr>
      <w:rPr>
        <w:position w:val="0"/>
        <w:sz w:val="20"/>
        <w:szCs w:val="20"/>
        <w:lang w:val="fr-FR"/>
      </w:rPr>
    </w:lvl>
  </w:abstractNum>
  <w:abstractNum w:abstractNumId="8" w15:restartNumberingAfterBreak="0">
    <w:nsid w:val="27047648"/>
    <w:multiLevelType w:val="multilevel"/>
    <w:tmpl w:val="F216CED2"/>
    <w:lvl w:ilvl="0">
      <w:start w:val="1"/>
      <w:numFmt w:val="decimal"/>
      <w:lvlText w:val="%1."/>
      <w:lvlJc w:val="left"/>
      <w:pPr>
        <w:tabs>
          <w:tab w:val="num" w:pos="660"/>
        </w:tabs>
        <w:ind w:left="660" w:hanging="300"/>
      </w:pPr>
      <w:rPr>
        <w:position w:val="0"/>
        <w:sz w:val="20"/>
        <w:szCs w:val="20"/>
        <w:lang w:val="fr-FR"/>
      </w:rPr>
    </w:lvl>
    <w:lvl w:ilvl="1">
      <w:numFmt w:val="bullet"/>
      <w:lvlText w:val="-"/>
      <w:lvlJc w:val="left"/>
      <w:pPr>
        <w:tabs>
          <w:tab w:val="num" w:pos="1440"/>
        </w:tabs>
        <w:ind w:left="1440" w:hanging="360"/>
      </w:pPr>
      <w:rPr>
        <w:position w:val="0"/>
        <w:sz w:val="22"/>
        <w:szCs w:val="22"/>
        <w:lang w:val="fr-FR"/>
      </w:rPr>
    </w:lvl>
    <w:lvl w:ilvl="2">
      <w:start w:val="1"/>
      <w:numFmt w:val="lowerRoman"/>
      <w:lvlText w:val="%3."/>
      <w:lvlJc w:val="left"/>
      <w:pPr>
        <w:tabs>
          <w:tab w:val="num" w:pos="2111"/>
        </w:tabs>
        <w:ind w:left="2111" w:hanging="247"/>
      </w:pPr>
      <w:rPr>
        <w:position w:val="0"/>
        <w:sz w:val="20"/>
        <w:szCs w:val="20"/>
        <w:lang w:val="fr-FR"/>
      </w:rPr>
    </w:lvl>
    <w:lvl w:ilvl="3">
      <w:start w:val="1"/>
      <w:numFmt w:val="decimal"/>
      <w:lvlText w:val="%4."/>
      <w:lvlJc w:val="left"/>
      <w:pPr>
        <w:tabs>
          <w:tab w:val="num" w:pos="2820"/>
        </w:tabs>
        <w:ind w:left="2820" w:hanging="300"/>
      </w:pPr>
      <w:rPr>
        <w:position w:val="0"/>
        <w:sz w:val="20"/>
        <w:szCs w:val="20"/>
        <w:lang w:val="fr-FR"/>
      </w:rPr>
    </w:lvl>
    <w:lvl w:ilvl="4">
      <w:start w:val="1"/>
      <w:numFmt w:val="lowerLetter"/>
      <w:lvlText w:val="%5."/>
      <w:lvlJc w:val="left"/>
      <w:pPr>
        <w:tabs>
          <w:tab w:val="num" w:pos="3540"/>
        </w:tabs>
        <w:ind w:left="3540" w:hanging="300"/>
      </w:pPr>
      <w:rPr>
        <w:position w:val="0"/>
        <w:sz w:val="20"/>
        <w:szCs w:val="20"/>
        <w:lang w:val="fr-FR"/>
      </w:rPr>
    </w:lvl>
    <w:lvl w:ilvl="5">
      <w:start w:val="1"/>
      <w:numFmt w:val="lowerRoman"/>
      <w:lvlText w:val="%6."/>
      <w:lvlJc w:val="left"/>
      <w:pPr>
        <w:tabs>
          <w:tab w:val="num" w:pos="4271"/>
        </w:tabs>
        <w:ind w:left="4271" w:hanging="247"/>
      </w:pPr>
      <w:rPr>
        <w:position w:val="0"/>
        <w:sz w:val="20"/>
        <w:szCs w:val="20"/>
        <w:lang w:val="fr-FR"/>
      </w:rPr>
    </w:lvl>
    <w:lvl w:ilvl="6">
      <w:start w:val="1"/>
      <w:numFmt w:val="decimal"/>
      <w:lvlText w:val="%7."/>
      <w:lvlJc w:val="left"/>
      <w:pPr>
        <w:tabs>
          <w:tab w:val="num" w:pos="4980"/>
        </w:tabs>
        <w:ind w:left="4980" w:hanging="300"/>
      </w:pPr>
      <w:rPr>
        <w:position w:val="0"/>
        <w:sz w:val="20"/>
        <w:szCs w:val="20"/>
        <w:lang w:val="fr-FR"/>
      </w:rPr>
    </w:lvl>
    <w:lvl w:ilvl="7">
      <w:start w:val="1"/>
      <w:numFmt w:val="lowerLetter"/>
      <w:lvlText w:val="%8."/>
      <w:lvlJc w:val="left"/>
      <w:pPr>
        <w:tabs>
          <w:tab w:val="num" w:pos="5700"/>
        </w:tabs>
        <w:ind w:left="5700" w:hanging="300"/>
      </w:pPr>
      <w:rPr>
        <w:position w:val="0"/>
        <w:sz w:val="20"/>
        <w:szCs w:val="20"/>
        <w:lang w:val="fr-FR"/>
      </w:rPr>
    </w:lvl>
    <w:lvl w:ilvl="8">
      <w:start w:val="1"/>
      <w:numFmt w:val="lowerRoman"/>
      <w:lvlText w:val="%9."/>
      <w:lvlJc w:val="left"/>
      <w:pPr>
        <w:tabs>
          <w:tab w:val="num" w:pos="6431"/>
        </w:tabs>
        <w:ind w:left="6431" w:hanging="247"/>
      </w:pPr>
      <w:rPr>
        <w:position w:val="0"/>
        <w:sz w:val="20"/>
        <w:szCs w:val="20"/>
        <w:lang w:val="fr-FR"/>
      </w:rPr>
    </w:lvl>
  </w:abstractNum>
  <w:abstractNum w:abstractNumId="9" w15:restartNumberingAfterBreak="0">
    <w:nsid w:val="2B6336F2"/>
    <w:multiLevelType w:val="hybridMultilevel"/>
    <w:tmpl w:val="431AB1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E50A0C"/>
    <w:multiLevelType w:val="hybridMultilevel"/>
    <w:tmpl w:val="58E840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563EC6"/>
    <w:multiLevelType w:val="multilevel"/>
    <w:tmpl w:val="D816564A"/>
    <w:styleLink w:val="List41"/>
    <w:lvl w:ilvl="0">
      <w:start w:val="1"/>
      <w:numFmt w:val="decimal"/>
      <w:lvlText w:val="%1."/>
      <w:lvlJc w:val="left"/>
      <w:pPr>
        <w:tabs>
          <w:tab w:val="num" w:pos="660"/>
        </w:tabs>
        <w:ind w:left="660" w:hanging="300"/>
      </w:pPr>
      <w:rPr>
        <w:position w:val="0"/>
        <w:sz w:val="20"/>
        <w:szCs w:val="20"/>
        <w:lang w:val="fr-FR"/>
      </w:rPr>
    </w:lvl>
    <w:lvl w:ilvl="1">
      <w:numFmt w:val="bullet"/>
      <w:lvlText w:val="-"/>
      <w:lvlJc w:val="left"/>
      <w:pPr>
        <w:tabs>
          <w:tab w:val="num" w:pos="1440"/>
        </w:tabs>
        <w:ind w:left="1440" w:hanging="360"/>
      </w:pPr>
      <w:rPr>
        <w:position w:val="0"/>
        <w:sz w:val="22"/>
        <w:szCs w:val="22"/>
        <w:lang w:val="fr-FR"/>
      </w:rPr>
    </w:lvl>
    <w:lvl w:ilvl="2">
      <w:start w:val="1"/>
      <w:numFmt w:val="lowerRoman"/>
      <w:lvlText w:val="%3."/>
      <w:lvlJc w:val="left"/>
      <w:pPr>
        <w:tabs>
          <w:tab w:val="num" w:pos="2111"/>
        </w:tabs>
        <w:ind w:left="2111" w:hanging="247"/>
      </w:pPr>
      <w:rPr>
        <w:position w:val="0"/>
        <w:sz w:val="20"/>
        <w:szCs w:val="20"/>
        <w:lang w:val="fr-FR"/>
      </w:rPr>
    </w:lvl>
    <w:lvl w:ilvl="3">
      <w:start w:val="1"/>
      <w:numFmt w:val="decimal"/>
      <w:lvlText w:val="%4."/>
      <w:lvlJc w:val="left"/>
      <w:pPr>
        <w:tabs>
          <w:tab w:val="num" w:pos="2820"/>
        </w:tabs>
        <w:ind w:left="2820" w:hanging="300"/>
      </w:pPr>
      <w:rPr>
        <w:position w:val="0"/>
        <w:sz w:val="20"/>
        <w:szCs w:val="20"/>
        <w:lang w:val="fr-FR"/>
      </w:rPr>
    </w:lvl>
    <w:lvl w:ilvl="4">
      <w:start w:val="1"/>
      <w:numFmt w:val="lowerLetter"/>
      <w:lvlText w:val="%5."/>
      <w:lvlJc w:val="left"/>
      <w:pPr>
        <w:tabs>
          <w:tab w:val="num" w:pos="3540"/>
        </w:tabs>
        <w:ind w:left="3540" w:hanging="300"/>
      </w:pPr>
      <w:rPr>
        <w:position w:val="0"/>
        <w:sz w:val="20"/>
        <w:szCs w:val="20"/>
        <w:lang w:val="fr-FR"/>
      </w:rPr>
    </w:lvl>
    <w:lvl w:ilvl="5">
      <w:start w:val="1"/>
      <w:numFmt w:val="lowerRoman"/>
      <w:lvlText w:val="%6."/>
      <w:lvlJc w:val="left"/>
      <w:pPr>
        <w:tabs>
          <w:tab w:val="num" w:pos="4271"/>
        </w:tabs>
        <w:ind w:left="4271" w:hanging="247"/>
      </w:pPr>
      <w:rPr>
        <w:position w:val="0"/>
        <w:sz w:val="20"/>
        <w:szCs w:val="20"/>
        <w:lang w:val="fr-FR"/>
      </w:rPr>
    </w:lvl>
    <w:lvl w:ilvl="6">
      <w:start w:val="1"/>
      <w:numFmt w:val="decimal"/>
      <w:lvlText w:val="%7."/>
      <w:lvlJc w:val="left"/>
      <w:pPr>
        <w:tabs>
          <w:tab w:val="num" w:pos="4980"/>
        </w:tabs>
        <w:ind w:left="4980" w:hanging="300"/>
      </w:pPr>
      <w:rPr>
        <w:position w:val="0"/>
        <w:sz w:val="20"/>
        <w:szCs w:val="20"/>
        <w:lang w:val="fr-FR"/>
      </w:rPr>
    </w:lvl>
    <w:lvl w:ilvl="7">
      <w:start w:val="1"/>
      <w:numFmt w:val="lowerLetter"/>
      <w:lvlText w:val="%8."/>
      <w:lvlJc w:val="left"/>
      <w:pPr>
        <w:tabs>
          <w:tab w:val="num" w:pos="5700"/>
        </w:tabs>
        <w:ind w:left="5700" w:hanging="300"/>
      </w:pPr>
      <w:rPr>
        <w:position w:val="0"/>
        <w:sz w:val="20"/>
        <w:szCs w:val="20"/>
        <w:lang w:val="fr-FR"/>
      </w:rPr>
    </w:lvl>
    <w:lvl w:ilvl="8">
      <w:start w:val="1"/>
      <w:numFmt w:val="lowerRoman"/>
      <w:lvlText w:val="%9."/>
      <w:lvlJc w:val="left"/>
      <w:pPr>
        <w:tabs>
          <w:tab w:val="num" w:pos="6431"/>
        </w:tabs>
        <w:ind w:left="6431" w:hanging="247"/>
      </w:pPr>
      <w:rPr>
        <w:position w:val="0"/>
        <w:sz w:val="20"/>
        <w:szCs w:val="20"/>
        <w:lang w:val="fr-FR"/>
      </w:rPr>
    </w:lvl>
  </w:abstractNum>
  <w:abstractNum w:abstractNumId="12" w15:restartNumberingAfterBreak="0">
    <w:nsid w:val="348806C8"/>
    <w:multiLevelType w:val="hybridMultilevel"/>
    <w:tmpl w:val="8CCE5D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184CEA"/>
    <w:multiLevelType w:val="multilevel"/>
    <w:tmpl w:val="F59CEA26"/>
    <w:lvl w:ilvl="0">
      <w:start w:val="1"/>
      <w:numFmt w:val="decimal"/>
      <w:lvlText w:val="%1."/>
      <w:lvlJc w:val="left"/>
      <w:pPr>
        <w:tabs>
          <w:tab w:val="num" w:pos="660"/>
        </w:tabs>
        <w:ind w:left="660" w:hanging="300"/>
      </w:pPr>
      <w:rPr>
        <w:position w:val="0"/>
        <w:sz w:val="20"/>
        <w:szCs w:val="20"/>
        <w:lang w:val="fr-FR"/>
      </w:rPr>
    </w:lvl>
    <w:lvl w:ilvl="1">
      <w:numFmt w:val="bullet"/>
      <w:lvlText w:val="-"/>
      <w:lvlJc w:val="left"/>
      <w:pPr>
        <w:tabs>
          <w:tab w:val="num" w:pos="1440"/>
        </w:tabs>
        <w:ind w:left="1440" w:hanging="360"/>
      </w:pPr>
      <w:rPr>
        <w:position w:val="0"/>
        <w:sz w:val="22"/>
        <w:szCs w:val="22"/>
        <w:lang w:val="fr-FR"/>
      </w:rPr>
    </w:lvl>
    <w:lvl w:ilvl="2">
      <w:start w:val="1"/>
      <w:numFmt w:val="lowerRoman"/>
      <w:lvlText w:val="%3."/>
      <w:lvlJc w:val="left"/>
      <w:pPr>
        <w:tabs>
          <w:tab w:val="num" w:pos="2111"/>
        </w:tabs>
        <w:ind w:left="2111" w:hanging="247"/>
      </w:pPr>
      <w:rPr>
        <w:position w:val="0"/>
        <w:sz w:val="20"/>
        <w:szCs w:val="20"/>
        <w:lang w:val="fr-FR"/>
      </w:rPr>
    </w:lvl>
    <w:lvl w:ilvl="3">
      <w:start w:val="1"/>
      <w:numFmt w:val="decimal"/>
      <w:lvlText w:val="%4."/>
      <w:lvlJc w:val="left"/>
      <w:pPr>
        <w:tabs>
          <w:tab w:val="num" w:pos="2820"/>
        </w:tabs>
        <w:ind w:left="2820" w:hanging="300"/>
      </w:pPr>
      <w:rPr>
        <w:position w:val="0"/>
        <w:sz w:val="20"/>
        <w:szCs w:val="20"/>
        <w:lang w:val="fr-FR"/>
      </w:rPr>
    </w:lvl>
    <w:lvl w:ilvl="4">
      <w:start w:val="1"/>
      <w:numFmt w:val="lowerLetter"/>
      <w:lvlText w:val="%5."/>
      <w:lvlJc w:val="left"/>
      <w:pPr>
        <w:tabs>
          <w:tab w:val="num" w:pos="3540"/>
        </w:tabs>
        <w:ind w:left="3540" w:hanging="300"/>
      </w:pPr>
      <w:rPr>
        <w:position w:val="0"/>
        <w:sz w:val="20"/>
        <w:szCs w:val="20"/>
        <w:lang w:val="fr-FR"/>
      </w:rPr>
    </w:lvl>
    <w:lvl w:ilvl="5">
      <w:start w:val="1"/>
      <w:numFmt w:val="lowerRoman"/>
      <w:lvlText w:val="%6."/>
      <w:lvlJc w:val="left"/>
      <w:pPr>
        <w:tabs>
          <w:tab w:val="num" w:pos="4271"/>
        </w:tabs>
        <w:ind w:left="4271" w:hanging="247"/>
      </w:pPr>
      <w:rPr>
        <w:position w:val="0"/>
        <w:sz w:val="20"/>
        <w:szCs w:val="20"/>
        <w:lang w:val="fr-FR"/>
      </w:rPr>
    </w:lvl>
    <w:lvl w:ilvl="6">
      <w:start w:val="1"/>
      <w:numFmt w:val="decimal"/>
      <w:lvlText w:val="%7."/>
      <w:lvlJc w:val="left"/>
      <w:pPr>
        <w:tabs>
          <w:tab w:val="num" w:pos="4980"/>
        </w:tabs>
        <w:ind w:left="4980" w:hanging="300"/>
      </w:pPr>
      <w:rPr>
        <w:position w:val="0"/>
        <w:sz w:val="20"/>
        <w:szCs w:val="20"/>
        <w:lang w:val="fr-FR"/>
      </w:rPr>
    </w:lvl>
    <w:lvl w:ilvl="7">
      <w:start w:val="1"/>
      <w:numFmt w:val="lowerLetter"/>
      <w:lvlText w:val="%8."/>
      <w:lvlJc w:val="left"/>
      <w:pPr>
        <w:tabs>
          <w:tab w:val="num" w:pos="5700"/>
        </w:tabs>
        <w:ind w:left="5700" w:hanging="300"/>
      </w:pPr>
      <w:rPr>
        <w:position w:val="0"/>
        <w:sz w:val="20"/>
        <w:szCs w:val="20"/>
        <w:lang w:val="fr-FR"/>
      </w:rPr>
    </w:lvl>
    <w:lvl w:ilvl="8">
      <w:start w:val="1"/>
      <w:numFmt w:val="lowerRoman"/>
      <w:lvlText w:val="%9."/>
      <w:lvlJc w:val="left"/>
      <w:pPr>
        <w:tabs>
          <w:tab w:val="num" w:pos="6431"/>
        </w:tabs>
        <w:ind w:left="6431" w:hanging="247"/>
      </w:pPr>
      <w:rPr>
        <w:position w:val="0"/>
        <w:sz w:val="20"/>
        <w:szCs w:val="20"/>
        <w:lang w:val="fr-FR"/>
      </w:rPr>
    </w:lvl>
  </w:abstractNum>
  <w:abstractNum w:abstractNumId="14" w15:restartNumberingAfterBreak="0">
    <w:nsid w:val="39731FF6"/>
    <w:multiLevelType w:val="hybridMultilevel"/>
    <w:tmpl w:val="8F1221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5E4B54"/>
    <w:multiLevelType w:val="hybridMultilevel"/>
    <w:tmpl w:val="1924E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A64EBF"/>
    <w:multiLevelType w:val="multilevel"/>
    <w:tmpl w:val="87F08850"/>
    <w:styleLink w:val="List6"/>
    <w:lvl w:ilvl="0">
      <w:start w:val="1"/>
      <w:numFmt w:val="decimal"/>
      <w:lvlText w:val="%1."/>
      <w:lvlJc w:val="left"/>
      <w:pPr>
        <w:tabs>
          <w:tab w:val="num" w:pos="720"/>
        </w:tabs>
        <w:ind w:left="720" w:hanging="360"/>
      </w:pPr>
      <w:rPr>
        <w:position w:val="0"/>
        <w:sz w:val="20"/>
        <w:szCs w:val="20"/>
        <w:lang w:val="fr-FR"/>
      </w:rPr>
    </w:lvl>
    <w:lvl w:ilvl="1">
      <w:start w:val="1"/>
      <w:numFmt w:val="bullet"/>
      <w:lvlText w:val="o"/>
      <w:lvlJc w:val="left"/>
      <w:pPr>
        <w:tabs>
          <w:tab w:val="num" w:pos="1380"/>
        </w:tabs>
        <w:ind w:left="1380" w:hanging="300"/>
      </w:pPr>
      <w:rPr>
        <w:position w:val="0"/>
        <w:sz w:val="20"/>
        <w:szCs w:val="20"/>
        <w:lang w:val="fr-FR"/>
      </w:rPr>
    </w:lvl>
    <w:lvl w:ilvl="2">
      <w:start w:val="1"/>
      <w:numFmt w:val="bullet"/>
      <w:lvlText w:val="▪"/>
      <w:lvlJc w:val="left"/>
      <w:pPr>
        <w:tabs>
          <w:tab w:val="num" w:pos="2100"/>
        </w:tabs>
        <w:ind w:left="2100" w:hanging="300"/>
      </w:pPr>
      <w:rPr>
        <w:position w:val="0"/>
        <w:sz w:val="20"/>
        <w:szCs w:val="20"/>
        <w:lang w:val="fr-FR"/>
      </w:rPr>
    </w:lvl>
    <w:lvl w:ilvl="3">
      <w:start w:val="1"/>
      <w:numFmt w:val="bullet"/>
      <w:lvlText w:val="•"/>
      <w:lvlJc w:val="left"/>
      <w:pPr>
        <w:tabs>
          <w:tab w:val="num" w:pos="2820"/>
        </w:tabs>
        <w:ind w:left="2820" w:hanging="300"/>
      </w:pPr>
      <w:rPr>
        <w:position w:val="0"/>
        <w:sz w:val="20"/>
        <w:szCs w:val="20"/>
        <w:lang w:val="fr-FR"/>
      </w:rPr>
    </w:lvl>
    <w:lvl w:ilvl="4">
      <w:start w:val="1"/>
      <w:numFmt w:val="bullet"/>
      <w:lvlText w:val="o"/>
      <w:lvlJc w:val="left"/>
      <w:pPr>
        <w:tabs>
          <w:tab w:val="num" w:pos="3540"/>
        </w:tabs>
        <w:ind w:left="3540" w:hanging="300"/>
      </w:pPr>
      <w:rPr>
        <w:position w:val="0"/>
        <w:sz w:val="20"/>
        <w:szCs w:val="20"/>
        <w:lang w:val="fr-FR"/>
      </w:rPr>
    </w:lvl>
    <w:lvl w:ilvl="5">
      <w:start w:val="1"/>
      <w:numFmt w:val="bullet"/>
      <w:lvlText w:val="▪"/>
      <w:lvlJc w:val="left"/>
      <w:pPr>
        <w:tabs>
          <w:tab w:val="num" w:pos="4260"/>
        </w:tabs>
        <w:ind w:left="4260" w:hanging="300"/>
      </w:pPr>
      <w:rPr>
        <w:position w:val="0"/>
        <w:sz w:val="20"/>
        <w:szCs w:val="20"/>
        <w:lang w:val="fr-FR"/>
      </w:rPr>
    </w:lvl>
    <w:lvl w:ilvl="6">
      <w:start w:val="1"/>
      <w:numFmt w:val="bullet"/>
      <w:lvlText w:val="•"/>
      <w:lvlJc w:val="left"/>
      <w:pPr>
        <w:tabs>
          <w:tab w:val="num" w:pos="4980"/>
        </w:tabs>
        <w:ind w:left="4980" w:hanging="300"/>
      </w:pPr>
      <w:rPr>
        <w:position w:val="0"/>
        <w:sz w:val="20"/>
        <w:szCs w:val="20"/>
        <w:lang w:val="fr-FR"/>
      </w:rPr>
    </w:lvl>
    <w:lvl w:ilvl="7">
      <w:start w:val="1"/>
      <w:numFmt w:val="bullet"/>
      <w:lvlText w:val="o"/>
      <w:lvlJc w:val="left"/>
      <w:pPr>
        <w:tabs>
          <w:tab w:val="num" w:pos="5700"/>
        </w:tabs>
        <w:ind w:left="5700" w:hanging="300"/>
      </w:pPr>
      <w:rPr>
        <w:position w:val="0"/>
        <w:sz w:val="20"/>
        <w:szCs w:val="20"/>
        <w:lang w:val="fr-FR"/>
      </w:rPr>
    </w:lvl>
    <w:lvl w:ilvl="8">
      <w:start w:val="1"/>
      <w:numFmt w:val="bullet"/>
      <w:lvlText w:val="▪"/>
      <w:lvlJc w:val="left"/>
      <w:pPr>
        <w:tabs>
          <w:tab w:val="num" w:pos="6420"/>
        </w:tabs>
        <w:ind w:left="6420" w:hanging="300"/>
      </w:pPr>
      <w:rPr>
        <w:position w:val="0"/>
        <w:sz w:val="20"/>
        <w:szCs w:val="20"/>
        <w:lang w:val="fr-FR"/>
      </w:rPr>
    </w:lvl>
  </w:abstractNum>
  <w:abstractNum w:abstractNumId="17" w15:restartNumberingAfterBreak="0">
    <w:nsid w:val="4068051B"/>
    <w:multiLevelType w:val="hybridMultilevel"/>
    <w:tmpl w:val="F74CAD0E"/>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41C5584E"/>
    <w:multiLevelType w:val="hybridMultilevel"/>
    <w:tmpl w:val="6B68F98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44431399"/>
    <w:multiLevelType w:val="multilevel"/>
    <w:tmpl w:val="FF6EE1AE"/>
    <w:lvl w:ilvl="0">
      <w:start w:val="1"/>
      <w:numFmt w:val="decimal"/>
      <w:lvlText w:val="%1."/>
      <w:lvlJc w:val="left"/>
      <w:pPr>
        <w:tabs>
          <w:tab w:val="num" w:pos="660"/>
        </w:tabs>
        <w:ind w:left="660" w:hanging="300"/>
      </w:pPr>
      <w:rPr>
        <w:position w:val="0"/>
        <w:sz w:val="20"/>
        <w:szCs w:val="20"/>
        <w:lang w:val="fr-FR"/>
      </w:rPr>
    </w:lvl>
    <w:lvl w:ilvl="1">
      <w:numFmt w:val="bullet"/>
      <w:lvlText w:val="-"/>
      <w:lvlJc w:val="left"/>
      <w:pPr>
        <w:tabs>
          <w:tab w:val="num" w:pos="1440"/>
        </w:tabs>
        <w:ind w:left="1440" w:hanging="360"/>
      </w:pPr>
      <w:rPr>
        <w:position w:val="0"/>
        <w:sz w:val="22"/>
        <w:szCs w:val="22"/>
        <w:lang w:val="fr-FR"/>
      </w:rPr>
    </w:lvl>
    <w:lvl w:ilvl="2">
      <w:start w:val="1"/>
      <w:numFmt w:val="lowerRoman"/>
      <w:lvlText w:val="%3."/>
      <w:lvlJc w:val="left"/>
      <w:pPr>
        <w:tabs>
          <w:tab w:val="num" w:pos="2111"/>
        </w:tabs>
        <w:ind w:left="2111" w:hanging="247"/>
      </w:pPr>
      <w:rPr>
        <w:position w:val="0"/>
        <w:sz w:val="20"/>
        <w:szCs w:val="20"/>
        <w:lang w:val="fr-FR"/>
      </w:rPr>
    </w:lvl>
    <w:lvl w:ilvl="3">
      <w:start w:val="1"/>
      <w:numFmt w:val="decimal"/>
      <w:lvlText w:val="%4."/>
      <w:lvlJc w:val="left"/>
      <w:pPr>
        <w:tabs>
          <w:tab w:val="num" w:pos="2820"/>
        </w:tabs>
        <w:ind w:left="2820" w:hanging="300"/>
      </w:pPr>
      <w:rPr>
        <w:position w:val="0"/>
        <w:sz w:val="20"/>
        <w:szCs w:val="20"/>
        <w:lang w:val="fr-FR"/>
      </w:rPr>
    </w:lvl>
    <w:lvl w:ilvl="4">
      <w:start w:val="1"/>
      <w:numFmt w:val="lowerLetter"/>
      <w:lvlText w:val="%5."/>
      <w:lvlJc w:val="left"/>
      <w:pPr>
        <w:tabs>
          <w:tab w:val="num" w:pos="3540"/>
        </w:tabs>
        <w:ind w:left="3540" w:hanging="300"/>
      </w:pPr>
      <w:rPr>
        <w:position w:val="0"/>
        <w:sz w:val="20"/>
        <w:szCs w:val="20"/>
        <w:lang w:val="fr-FR"/>
      </w:rPr>
    </w:lvl>
    <w:lvl w:ilvl="5">
      <w:start w:val="1"/>
      <w:numFmt w:val="lowerRoman"/>
      <w:lvlText w:val="%6."/>
      <w:lvlJc w:val="left"/>
      <w:pPr>
        <w:tabs>
          <w:tab w:val="num" w:pos="4271"/>
        </w:tabs>
        <w:ind w:left="4271" w:hanging="247"/>
      </w:pPr>
      <w:rPr>
        <w:position w:val="0"/>
        <w:sz w:val="20"/>
        <w:szCs w:val="20"/>
        <w:lang w:val="fr-FR"/>
      </w:rPr>
    </w:lvl>
    <w:lvl w:ilvl="6">
      <w:start w:val="1"/>
      <w:numFmt w:val="decimal"/>
      <w:lvlText w:val="%7."/>
      <w:lvlJc w:val="left"/>
      <w:pPr>
        <w:tabs>
          <w:tab w:val="num" w:pos="4980"/>
        </w:tabs>
        <w:ind w:left="4980" w:hanging="300"/>
      </w:pPr>
      <w:rPr>
        <w:position w:val="0"/>
        <w:sz w:val="20"/>
        <w:szCs w:val="20"/>
        <w:lang w:val="fr-FR"/>
      </w:rPr>
    </w:lvl>
    <w:lvl w:ilvl="7">
      <w:start w:val="1"/>
      <w:numFmt w:val="lowerLetter"/>
      <w:lvlText w:val="%8."/>
      <w:lvlJc w:val="left"/>
      <w:pPr>
        <w:tabs>
          <w:tab w:val="num" w:pos="5700"/>
        </w:tabs>
        <w:ind w:left="5700" w:hanging="300"/>
      </w:pPr>
      <w:rPr>
        <w:position w:val="0"/>
        <w:sz w:val="20"/>
        <w:szCs w:val="20"/>
        <w:lang w:val="fr-FR"/>
      </w:rPr>
    </w:lvl>
    <w:lvl w:ilvl="8">
      <w:start w:val="1"/>
      <w:numFmt w:val="lowerRoman"/>
      <w:lvlText w:val="%9."/>
      <w:lvlJc w:val="left"/>
      <w:pPr>
        <w:tabs>
          <w:tab w:val="num" w:pos="6431"/>
        </w:tabs>
        <w:ind w:left="6431" w:hanging="247"/>
      </w:pPr>
      <w:rPr>
        <w:position w:val="0"/>
        <w:sz w:val="20"/>
        <w:szCs w:val="20"/>
        <w:lang w:val="fr-FR"/>
      </w:rPr>
    </w:lvl>
  </w:abstractNum>
  <w:abstractNum w:abstractNumId="20" w15:restartNumberingAfterBreak="0">
    <w:nsid w:val="455C2A01"/>
    <w:multiLevelType w:val="multilevel"/>
    <w:tmpl w:val="649053AC"/>
    <w:styleLink w:val="List7"/>
    <w:lvl w:ilvl="0">
      <w:start w:val="3"/>
      <w:numFmt w:val="decimal"/>
      <w:lvlText w:val="%1."/>
      <w:lvlJc w:val="left"/>
      <w:rPr>
        <w:rFonts w:ascii="Times New Roman Bold" w:eastAsia="Times New Roman Bold" w:hAnsi="Times New Roman Bold" w:cs="Times New Roman Bold"/>
        <w:b w:val="0"/>
        <w:bCs w:val="0"/>
        <w:position w:val="0"/>
        <w:lang w:val="fr-FR"/>
      </w:rPr>
    </w:lvl>
    <w:lvl w:ilvl="1">
      <w:start w:val="1"/>
      <w:numFmt w:val="lowerLetter"/>
      <w:lvlText w:val="%2."/>
      <w:lvlJc w:val="left"/>
      <w:rPr>
        <w:rFonts w:ascii="Times New Roman Bold" w:eastAsia="Times New Roman Bold" w:hAnsi="Times New Roman Bold" w:cs="Times New Roman Bold"/>
        <w:b w:val="0"/>
        <w:bCs w:val="0"/>
        <w:position w:val="0"/>
        <w:lang w:val="fr-FR"/>
      </w:rPr>
    </w:lvl>
    <w:lvl w:ilvl="2">
      <w:start w:val="1"/>
      <w:numFmt w:val="lowerRoman"/>
      <w:lvlText w:val="%3."/>
      <w:lvlJc w:val="left"/>
      <w:rPr>
        <w:rFonts w:ascii="Times New Roman Bold" w:eastAsia="Times New Roman Bold" w:hAnsi="Times New Roman Bold" w:cs="Times New Roman Bold"/>
        <w:b w:val="0"/>
        <w:bCs w:val="0"/>
        <w:position w:val="0"/>
        <w:lang w:val="fr-FR"/>
      </w:rPr>
    </w:lvl>
    <w:lvl w:ilvl="3">
      <w:start w:val="1"/>
      <w:numFmt w:val="decimal"/>
      <w:lvlText w:val="%4."/>
      <w:lvlJc w:val="left"/>
      <w:rPr>
        <w:rFonts w:ascii="Times New Roman Bold" w:eastAsia="Times New Roman Bold" w:hAnsi="Times New Roman Bold" w:cs="Times New Roman Bold"/>
        <w:b w:val="0"/>
        <w:bCs w:val="0"/>
        <w:position w:val="0"/>
        <w:lang w:val="fr-FR"/>
      </w:rPr>
    </w:lvl>
    <w:lvl w:ilvl="4">
      <w:start w:val="1"/>
      <w:numFmt w:val="lowerLetter"/>
      <w:lvlText w:val="%5."/>
      <w:lvlJc w:val="left"/>
      <w:rPr>
        <w:rFonts w:ascii="Times New Roman Bold" w:eastAsia="Times New Roman Bold" w:hAnsi="Times New Roman Bold" w:cs="Times New Roman Bold"/>
        <w:b w:val="0"/>
        <w:bCs w:val="0"/>
        <w:position w:val="0"/>
        <w:lang w:val="fr-FR"/>
      </w:rPr>
    </w:lvl>
    <w:lvl w:ilvl="5">
      <w:start w:val="1"/>
      <w:numFmt w:val="lowerRoman"/>
      <w:lvlText w:val="%6."/>
      <w:lvlJc w:val="left"/>
      <w:rPr>
        <w:rFonts w:ascii="Times New Roman Bold" w:eastAsia="Times New Roman Bold" w:hAnsi="Times New Roman Bold" w:cs="Times New Roman Bold"/>
        <w:b w:val="0"/>
        <w:bCs w:val="0"/>
        <w:position w:val="0"/>
        <w:lang w:val="fr-FR"/>
      </w:rPr>
    </w:lvl>
    <w:lvl w:ilvl="6">
      <w:start w:val="1"/>
      <w:numFmt w:val="decimal"/>
      <w:lvlText w:val="%7."/>
      <w:lvlJc w:val="left"/>
      <w:rPr>
        <w:rFonts w:ascii="Times New Roman Bold" w:eastAsia="Times New Roman Bold" w:hAnsi="Times New Roman Bold" w:cs="Times New Roman Bold"/>
        <w:b w:val="0"/>
        <w:bCs w:val="0"/>
        <w:position w:val="0"/>
        <w:lang w:val="fr-FR"/>
      </w:rPr>
    </w:lvl>
    <w:lvl w:ilvl="7">
      <w:start w:val="1"/>
      <w:numFmt w:val="lowerLetter"/>
      <w:lvlText w:val="%8."/>
      <w:lvlJc w:val="left"/>
      <w:rPr>
        <w:rFonts w:ascii="Times New Roman Bold" w:eastAsia="Times New Roman Bold" w:hAnsi="Times New Roman Bold" w:cs="Times New Roman Bold"/>
        <w:b w:val="0"/>
        <w:bCs w:val="0"/>
        <w:position w:val="0"/>
        <w:lang w:val="fr-FR"/>
      </w:rPr>
    </w:lvl>
    <w:lvl w:ilvl="8">
      <w:start w:val="1"/>
      <w:numFmt w:val="lowerRoman"/>
      <w:lvlText w:val="%9."/>
      <w:lvlJc w:val="left"/>
      <w:rPr>
        <w:rFonts w:ascii="Times New Roman Bold" w:eastAsia="Times New Roman Bold" w:hAnsi="Times New Roman Bold" w:cs="Times New Roman Bold"/>
        <w:b w:val="0"/>
        <w:bCs w:val="0"/>
        <w:position w:val="0"/>
        <w:lang w:val="fr-FR"/>
      </w:rPr>
    </w:lvl>
  </w:abstractNum>
  <w:abstractNum w:abstractNumId="21" w15:restartNumberingAfterBreak="0">
    <w:nsid w:val="47EC6415"/>
    <w:multiLevelType w:val="hybridMultilevel"/>
    <w:tmpl w:val="6AAA93FE"/>
    <w:lvl w:ilvl="0" w:tplc="FFFFFFFF">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0E7DF8"/>
    <w:multiLevelType w:val="multilevel"/>
    <w:tmpl w:val="BB961290"/>
    <w:lvl w:ilvl="0">
      <w:start w:val="1"/>
      <w:numFmt w:val="decimal"/>
      <w:lvlText w:val="%1."/>
      <w:lvlJc w:val="left"/>
      <w:pPr>
        <w:tabs>
          <w:tab w:val="num" w:pos="660"/>
        </w:tabs>
        <w:ind w:left="660" w:hanging="300"/>
      </w:pPr>
      <w:rPr>
        <w:position w:val="0"/>
        <w:sz w:val="20"/>
        <w:szCs w:val="20"/>
        <w:lang w:val="fr-FR"/>
      </w:rPr>
    </w:lvl>
    <w:lvl w:ilvl="1">
      <w:numFmt w:val="bullet"/>
      <w:lvlText w:val="-"/>
      <w:lvlJc w:val="left"/>
      <w:pPr>
        <w:tabs>
          <w:tab w:val="num" w:pos="1440"/>
        </w:tabs>
        <w:ind w:left="1440" w:hanging="360"/>
      </w:pPr>
      <w:rPr>
        <w:position w:val="0"/>
        <w:sz w:val="22"/>
        <w:szCs w:val="22"/>
        <w:lang w:val="fr-FR"/>
      </w:rPr>
    </w:lvl>
    <w:lvl w:ilvl="2">
      <w:start w:val="1"/>
      <w:numFmt w:val="lowerRoman"/>
      <w:lvlText w:val="%3."/>
      <w:lvlJc w:val="left"/>
      <w:pPr>
        <w:tabs>
          <w:tab w:val="num" w:pos="2111"/>
        </w:tabs>
        <w:ind w:left="2111" w:hanging="247"/>
      </w:pPr>
      <w:rPr>
        <w:position w:val="0"/>
        <w:sz w:val="20"/>
        <w:szCs w:val="20"/>
        <w:lang w:val="fr-FR"/>
      </w:rPr>
    </w:lvl>
    <w:lvl w:ilvl="3">
      <w:start w:val="1"/>
      <w:numFmt w:val="decimal"/>
      <w:lvlText w:val="%4."/>
      <w:lvlJc w:val="left"/>
      <w:pPr>
        <w:tabs>
          <w:tab w:val="num" w:pos="2820"/>
        </w:tabs>
        <w:ind w:left="2820" w:hanging="300"/>
      </w:pPr>
      <w:rPr>
        <w:position w:val="0"/>
        <w:sz w:val="20"/>
        <w:szCs w:val="20"/>
        <w:lang w:val="fr-FR"/>
      </w:rPr>
    </w:lvl>
    <w:lvl w:ilvl="4">
      <w:start w:val="1"/>
      <w:numFmt w:val="lowerLetter"/>
      <w:lvlText w:val="%5."/>
      <w:lvlJc w:val="left"/>
      <w:pPr>
        <w:tabs>
          <w:tab w:val="num" w:pos="3540"/>
        </w:tabs>
        <w:ind w:left="3540" w:hanging="300"/>
      </w:pPr>
      <w:rPr>
        <w:position w:val="0"/>
        <w:sz w:val="20"/>
        <w:szCs w:val="20"/>
        <w:lang w:val="fr-FR"/>
      </w:rPr>
    </w:lvl>
    <w:lvl w:ilvl="5">
      <w:start w:val="1"/>
      <w:numFmt w:val="lowerRoman"/>
      <w:lvlText w:val="%6."/>
      <w:lvlJc w:val="left"/>
      <w:pPr>
        <w:tabs>
          <w:tab w:val="num" w:pos="4271"/>
        </w:tabs>
        <w:ind w:left="4271" w:hanging="247"/>
      </w:pPr>
      <w:rPr>
        <w:position w:val="0"/>
        <w:sz w:val="20"/>
        <w:szCs w:val="20"/>
        <w:lang w:val="fr-FR"/>
      </w:rPr>
    </w:lvl>
    <w:lvl w:ilvl="6">
      <w:start w:val="1"/>
      <w:numFmt w:val="decimal"/>
      <w:lvlText w:val="%7."/>
      <w:lvlJc w:val="left"/>
      <w:pPr>
        <w:tabs>
          <w:tab w:val="num" w:pos="4980"/>
        </w:tabs>
        <w:ind w:left="4980" w:hanging="300"/>
      </w:pPr>
      <w:rPr>
        <w:position w:val="0"/>
        <w:sz w:val="20"/>
        <w:szCs w:val="20"/>
        <w:lang w:val="fr-FR"/>
      </w:rPr>
    </w:lvl>
    <w:lvl w:ilvl="7">
      <w:start w:val="1"/>
      <w:numFmt w:val="lowerLetter"/>
      <w:lvlText w:val="%8."/>
      <w:lvlJc w:val="left"/>
      <w:pPr>
        <w:tabs>
          <w:tab w:val="num" w:pos="5700"/>
        </w:tabs>
        <w:ind w:left="5700" w:hanging="300"/>
      </w:pPr>
      <w:rPr>
        <w:position w:val="0"/>
        <w:sz w:val="20"/>
        <w:szCs w:val="20"/>
        <w:lang w:val="fr-FR"/>
      </w:rPr>
    </w:lvl>
    <w:lvl w:ilvl="8">
      <w:start w:val="1"/>
      <w:numFmt w:val="lowerRoman"/>
      <w:lvlText w:val="%9."/>
      <w:lvlJc w:val="left"/>
      <w:pPr>
        <w:tabs>
          <w:tab w:val="num" w:pos="6431"/>
        </w:tabs>
        <w:ind w:left="6431" w:hanging="247"/>
      </w:pPr>
      <w:rPr>
        <w:position w:val="0"/>
        <w:sz w:val="20"/>
        <w:szCs w:val="20"/>
        <w:lang w:val="fr-FR"/>
      </w:rPr>
    </w:lvl>
  </w:abstractNum>
  <w:abstractNum w:abstractNumId="23" w15:restartNumberingAfterBreak="0">
    <w:nsid w:val="4DFA2ABA"/>
    <w:multiLevelType w:val="hybridMultilevel"/>
    <w:tmpl w:val="8C4CB668"/>
    <w:lvl w:ilvl="0" w:tplc="FFFFFFFF">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6D7A5C"/>
    <w:multiLevelType w:val="hybridMultilevel"/>
    <w:tmpl w:val="B920B93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57C742CD"/>
    <w:multiLevelType w:val="hybridMultilevel"/>
    <w:tmpl w:val="01B4BF04"/>
    <w:lvl w:ilvl="0" w:tplc="7906385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B10BA1"/>
    <w:multiLevelType w:val="hybridMultilevel"/>
    <w:tmpl w:val="6A8E4586"/>
    <w:lvl w:ilvl="0" w:tplc="8A28C392">
      <w:start w:val="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C0C5851"/>
    <w:multiLevelType w:val="multilevel"/>
    <w:tmpl w:val="ADCAB638"/>
    <w:styleLink w:val="List1"/>
    <w:lvl w:ilvl="0">
      <w:numFmt w:val="bullet"/>
      <w:lvlText w:val="•"/>
      <w:lvlJc w:val="left"/>
      <w:pPr>
        <w:tabs>
          <w:tab w:val="num" w:pos="720"/>
        </w:tabs>
        <w:ind w:left="720" w:hanging="360"/>
      </w:pPr>
      <w:rPr>
        <w:b w:val="0"/>
        <w:bCs w:val="0"/>
        <w:position w:val="0"/>
        <w:sz w:val="22"/>
        <w:szCs w:val="22"/>
        <w:lang w:val="fr-FR"/>
      </w:rPr>
    </w:lvl>
    <w:lvl w:ilvl="1">
      <w:start w:val="1"/>
      <w:numFmt w:val="bullet"/>
      <w:lvlText w:val="o"/>
      <w:lvlJc w:val="left"/>
      <w:pPr>
        <w:tabs>
          <w:tab w:val="num" w:pos="1440"/>
        </w:tabs>
        <w:ind w:left="1440" w:hanging="360"/>
      </w:pPr>
      <w:rPr>
        <w:b w:val="0"/>
        <w:bCs w:val="0"/>
        <w:position w:val="0"/>
        <w:sz w:val="24"/>
        <w:szCs w:val="24"/>
        <w:lang w:val="fr-FR"/>
      </w:rPr>
    </w:lvl>
    <w:lvl w:ilvl="2">
      <w:start w:val="1"/>
      <w:numFmt w:val="bullet"/>
      <w:lvlText w:val="▪"/>
      <w:lvlJc w:val="left"/>
      <w:pPr>
        <w:tabs>
          <w:tab w:val="num" w:pos="2160"/>
        </w:tabs>
        <w:ind w:left="2160" w:hanging="360"/>
      </w:pPr>
      <w:rPr>
        <w:b w:val="0"/>
        <w:bCs w:val="0"/>
        <w:position w:val="0"/>
        <w:sz w:val="24"/>
        <w:szCs w:val="24"/>
        <w:lang w:val="fr-FR"/>
      </w:rPr>
    </w:lvl>
    <w:lvl w:ilvl="3">
      <w:start w:val="1"/>
      <w:numFmt w:val="bullet"/>
      <w:lvlText w:val="•"/>
      <w:lvlJc w:val="left"/>
      <w:pPr>
        <w:tabs>
          <w:tab w:val="num" w:pos="2880"/>
        </w:tabs>
        <w:ind w:left="2880" w:hanging="360"/>
      </w:pPr>
      <w:rPr>
        <w:b w:val="0"/>
        <w:bCs w:val="0"/>
        <w:position w:val="0"/>
        <w:sz w:val="24"/>
        <w:szCs w:val="24"/>
        <w:lang w:val="fr-FR"/>
      </w:rPr>
    </w:lvl>
    <w:lvl w:ilvl="4">
      <w:start w:val="1"/>
      <w:numFmt w:val="bullet"/>
      <w:lvlText w:val="o"/>
      <w:lvlJc w:val="left"/>
      <w:pPr>
        <w:tabs>
          <w:tab w:val="num" w:pos="3600"/>
        </w:tabs>
        <w:ind w:left="3600" w:hanging="360"/>
      </w:pPr>
      <w:rPr>
        <w:b w:val="0"/>
        <w:bCs w:val="0"/>
        <w:position w:val="0"/>
        <w:sz w:val="24"/>
        <w:szCs w:val="24"/>
        <w:lang w:val="fr-FR"/>
      </w:rPr>
    </w:lvl>
    <w:lvl w:ilvl="5">
      <w:start w:val="1"/>
      <w:numFmt w:val="bullet"/>
      <w:lvlText w:val="▪"/>
      <w:lvlJc w:val="left"/>
      <w:pPr>
        <w:tabs>
          <w:tab w:val="num" w:pos="4320"/>
        </w:tabs>
        <w:ind w:left="4320" w:hanging="360"/>
      </w:pPr>
      <w:rPr>
        <w:b w:val="0"/>
        <w:bCs w:val="0"/>
        <w:position w:val="0"/>
        <w:sz w:val="24"/>
        <w:szCs w:val="24"/>
        <w:lang w:val="fr-FR"/>
      </w:rPr>
    </w:lvl>
    <w:lvl w:ilvl="6">
      <w:start w:val="1"/>
      <w:numFmt w:val="bullet"/>
      <w:lvlText w:val="•"/>
      <w:lvlJc w:val="left"/>
      <w:pPr>
        <w:tabs>
          <w:tab w:val="num" w:pos="5040"/>
        </w:tabs>
        <w:ind w:left="5040" w:hanging="360"/>
      </w:pPr>
      <w:rPr>
        <w:b w:val="0"/>
        <w:bCs w:val="0"/>
        <w:position w:val="0"/>
        <w:sz w:val="24"/>
        <w:szCs w:val="24"/>
        <w:lang w:val="fr-FR"/>
      </w:rPr>
    </w:lvl>
    <w:lvl w:ilvl="7">
      <w:start w:val="1"/>
      <w:numFmt w:val="bullet"/>
      <w:lvlText w:val="o"/>
      <w:lvlJc w:val="left"/>
      <w:pPr>
        <w:tabs>
          <w:tab w:val="num" w:pos="5760"/>
        </w:tabs>
        <w:ind w:left="5760" w:hanging="360"/>
      </w:pPr>
      <w:rPr>
        <w:b w:val="0"/>
        <w:bCs w:val="0"/>
        <w:position w:val="0"/>
        <w:sz w:val="24"/>
        <w:szCs w:val="24"/>
        <w:lang w:val="fr-FR"/>
      </w:rPr>
    </w:lvl>
    <w:lvl w:ilvl="8">
      <w:start w:val="1"/>
      <w:numFmt w:val="bullet"/>
      <w:lvlText w:val="▪"/>
      <w:lvlJc w:val="left"/>
      <w:pPr>
        <w:tabs>
          <w:tab w:val="num" w:pos="6480"/>
        </w:tabs>
        <w:ind w:left="6480" w:hanging="360"/>
      </w:pPr>
      <w:rPr>
        <w:b w:val="0"/>
        <w:bCs w:val="0"/>
        <w:position w:val="0"/>
        <w:sz w:val="24"/>
        <w:szCs w:val="24"/>
        <w:lang w:val="fr-FR"/>
      </w:rPr>
    </w:lvl>
  </w:abstractNum>
  <w:abstractNum w:abstractNumId="28" w15:restartNumberingAfterBreak="0">
    <w:nsid w:val="710F11A1"/>
    <w:multiLevelType w:val="hybridMultilevel"/>
    <w:tmpl w:val="0888AEDC"/>
    <w:lvl w:ilvl="0" w:tplc="7906385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2C6A1A"/>
    <w:multiLevelType w:val="multilevel"/>
    <w:tmpl w:val="706EB4C2"/>
    <w:lvl w:ilvl="0">
      <w:start w:val="1"/>
      <w:numFmt w:val="decimal"/>
      <w:lvlText w:val="%1."/>
      <w:lvlJc w:val="left"/>
      <w:pPr>
        <w:tabs>
          <w:tab w:val="num" w:pos="660"/>
        </w:tabs>
        <w:ind w:left="660" w:hanging="300"/>
      </w:pPr>
      <w:rPr>
        <w:position w:val="0"/>
        <w:sz w:val="20"/>
        <w:szCs w:val="20"/>
        <w:lang w:val="fr-FR"/>
      </w:rPr>
    </w:lvl>
    <w:lvl w:ilvl="1">
      <w:numFmt w:val="bullet"/>
      <w:lvlText w:val="-"/>
      <w:lvlJc w:val="left"/>
      <w:pPr>
        <w:tabs>
          <w:tab w:val="num" w:pos="1440"/>
        </w:tabs>
        <w:ind w:left="1440" w:hanging="360"/>
      </w:pPr>
      <w:rPr>
        <w:position w:val="0"/>
        <w:sz w:val="22"/>
        <w:szCs w:val="22"/>
        <w:lang w:val="fr-FR"/>
      </w:rPr>
    </w:lvl>
    <w:lvl w:ilvl="2">
      <w:start w:val="1"/>
      <w:numFmt w:val="lowerRoman"/>
      <w:lvlText w:val="%3."/>
      <w:lvlJc w:val="left"/>
      <w:pPr>
        <w:tabs>
          <w:tab w:val="num" w:pos="2111"/>
        </w:tabs>
        <w:ind w:left="2111" w:hanging="247"/>
      </w:pPr>
      <w:rPr>
        <w:position w:val="0"/>
        <w:sz w:val="20"/>
        <w:szCs w:val="20"/>
        <w:lang w:val="fr-FR"/>
      </w:rPr>
    </w:lvl>
    <w:lvl w:ilvl="3">
      <w:start w:val="1"/>
      <w:numFmt w:val="decimal"/>
      <w:lvlText w:val="%4."/>
      <w:lvlJc w:val="left"/>
      <w:pPr>
        <w:tabs>
          <w:tab w:val="num" w:pos="2820"/>
        </w:tabs>
        <w:ind w:left="2820" w:hanging="300"/>
      </w:pPr>
      <w:rPr>
        <w:position w:val="0"/>
        <w:sz w:val="20"/>
        <w:szCs w:val="20"/>
        <w:lang w:val="fr-FR"/>
      </w:rPr>
    </w:lvl>
    <w:lvl w:ilvl="4">
      <w:start w:val="1"/>
      <w:numFmt w:val="lowerLetter"/>
      <w:lvlText w:val="%5."/>
      <w:lvlJc w:val="left"/>
      <w:pPr>
        <w:tabs>
          <w:tab w:val="num" w:pos="3540"/>
        </w:tabs>
        <w:ind w:left="3540" w:hanging="300"/>
      </w:pPr>
      <w:rPr>
        <w:position w:val="0"/>
        <w:sz w:val="20"/>
        <w:szCs w:val="20"/>
        <w:lang w:val="fr-FR"/>
      </w:rPr>
    </w:lvl>
    <w:lvl w:ilvl="5">
      <w:start w:val="1"/>
      <w:numFmt w:val="lowerRoman"/>
      <w:lvlText w:val="%6."/>
      <w:lvlJc w:val="left"/>
      <w:pPr>
        <w:tabs>
          <w:tab w:val="num" w:pos="4271"/>
        </w:tabs>
        <w:ind w:left="4271" w:hanging="247"/>
      </w:pPr>
      <w:rPr>
        <w:position w:val="0"/>
        <w:sz w:val="20"/>
        <w:szCs w:val="20"/>
        <w:lang w:val="fr-FR"/>
      </w:rPr>
    </w:lvl>
    <w:lvl w:ilvl="6">
      <w:start w:val="1"/>
      <w:numFmt w:val="decimal"/>
      <w:lvlText w:val="%7."/>
      <w:lvlJc w:val="left"/>
      <w:pPr>
        <w:tabs>
          <w:tab w:val="num" w:pos="4980"/>
        </w:tabs>
        <w:ind w:left="4980" w:hanging="300"/>
      </w:pPr>
      <w:rPr>
        <w:position w:val="0"/>
        <w:sz w:val="20"/>
        <w:szCs w:val="20"/>
        <w:lang w:val="fr-FR"/>
      </w:rPr>
    </w:lvl>
    <w:lvl w:ilvl="7">
      <w:start w:val="1"/>
      <w:numFmt w:val="lowerLetter"/>
      <w:lvlText w:val="%8."/>
      <w:lvlJc w:val="left"/>
      <w:pPr>
        <w:tabs>
          <w:tab w:val="num" w:pos="5700"/>
        </w:tabs>
        <w:ind w:left="5700" w:hanging="300"/>
      </w:pPr>
      <w:rPr>
        <w:position w:val="0"/>
        <w:sz w:val="20"/>
        <w:szCs w:val="20"/>
        <w:lang w:val="fr-FR"/>
      </w:rPr>
    </w:lvl>
    <w:lvl w:ilvl="8">
      <w:start w:val="1"/>
      <w:numFmt w:val="lowerRoman"/>
      <w:lvlText w:val="%9."/>
      <w:lvlJc w:val="left"/>
      <w:pPr>
        <w:tabs>
          <w:tab w:val="num" w:pos="6431"/>
        </w:tabs>
        <w:ind w:left="6431" w:hanging="247"/>
      </w:pPr>
      <w:rPr>
        <w:position w:val="0"/>
        <w:sz w:val="20"/>
        <w:szCs w:val="20"/>
        <w:lang w:val="fr-FR"/>
      </w:rPr>
    </w:lvl>
  </w:abstractNum>
  <w:abstractNum w:abstractNumId="30" w15:restartNumberingAfterBreak="0">
    <w:nsid w:val="72B018F4"/>
    <w:multiLevelType w:val="hybridMultilevel"/>
    <w:tmpl w:val="F6F01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6740972"/>
    <w:multiLevelType w:val="hybridMultilevel"/>
    <w:tmpl w:val="2E90C02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7030F40"/>
    <w:multiLevelType w:val="hybridMultilevel"/>
    <w:tmpl w:val="8EE69CDC"/>
    <w:lvl w:ilvl="0" w:tplc="7906385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7754E3"/>
    <w:multiLevelType w:val="multilevel"/>
    <w:tmpl w:val="C2BEA612"/>
    <w:lvl w:ilvl="0">
      <w:start w:val="1"/>
      <w:numFmt w:val="decimal"/>
      <w:lvlText w:val="%1."/>
      <w:lvlJc w:val="left"/>
      <w:pPr>
        <w:tabs>
          <w:tab w:val="num" w:pos="660"/>
        </w:tabs>
        <w:ind w:left="660" w:hanging="300"/>
      </w:pPr>
      <w:rPr>
        <w:position w:val="0"/>
        <w:sz w:val="20"/>
        <w:szCs w:val="20"/>
        <w:lang w:val="fr-FR"/>
      </w:rPr>
    </w:lvl>
    <w:lvl w:ilvl="1">
      <w:numFmt w:val="bullet"/>
      <w:lvlText w:val="-"/>
      <w:lvlJc w:val="left"/>
      <w:pPr>
        <w:tabs>
          <w:tab w:val="num" w:pos="1440"/>
        </w:tabs>
        <w:ind w:left="1440" w:hanging="360"/>
      </w:pPr>
      <w:rPr>
        <w:position w:val="0"/>
        <w:sz w:val="22"/>
        <w:szCs w:val="22"/>
        <w:lang w:val="fr-FR"/>
      </w:rPr>
    </w:lvl>
    <w:lvl w:ilvl="2">
      <w:start w:val="1"/>
      <w:numFmt w:val="lowerRoman"/>
      <w:lvlText w:val="%3."/>
      <w:lvlJc w:val="left"/>
      <w:pPr>
        <w:tabs>
          <w:tab w:val="num" w:pos="2111"/>
        </w:tabs>
        <w:ind w:left="2111" w:hanging="247"/>
      </w:pPr>
      <w:rPr>
        <w:position w:val="0"/>
        <w:sz w:val="20"/>
        <w:szCs w:val="20"/>
        <w:lang w:val="fr-FR"/>
      </w:rPr>
    </w:lvl>
    <w:lvl w:ilvl="3">
      <w:start w:val="1"/>
      <w:numFmt w:val="decimal"/>
      <w:lvlText w:val="%4."/>
      <w:lvlJc w:val="left"/>
      <w:pPr>
        <w:tabs>
          <w:tab w:val="num" w:pos="2820"/>
        </w:tabs>
        <w:ind w:left="2820" w:hanging="300"/>
      </w:pPr>
      <w:rPr>
        <w:position w:val="0"/>
        <w:sz w:val="20"/>
        <w:szCs w:val="20"/>
        <w:lang w:val="fr-FR"/>
      </w:rPr>
    </w:lvl>
    <w:lvl w:ilvl="4">
      <w:start w:val="1"/>
      <w:numFmt w:val="lowerLetter"/>
      <w:lvlText w:val="%5."/>
      <w:lvlJc w:val="left"/>
      <w:pPr>
        <w:tabs>
          <w:tab w:val="num" w:pos="3540"/>
        </w:tabs>
        <w:ind w:left="3540" w:hanging="300"/>
      </w:pPr>
      <w:rPr>
        <w:position w:val="0"/>
        <w:sz w:val="20"/>
        <w:szCs w:val="20"/>
        <w:lang w:val="fr-FR"/>
      </w:rPr>
    </w:lvl>
    <w:lvl w:ilvl="5">
      <w:start w:val="1"/>
      <w:numFmt w:val="lowerRoman"/>
      <w:lvlText w:val="%6."/>
      <w:lvlJc w:val="left"/>
      <w:pPr>
        <w:tabs>
          <w:tab w:val="num" w:pos="4271"/>
        </w:tabs>
        <w:ind w:left="4271" w:hanging="247"/>
      </w:pPr>
      <w:rPr>
        <w:position w:val="0"/>
        <w:sz w:val="20"/>
        <w:szCs w:val="20"/>
        <w:lang w:val="fr-FR"/>
      </w:rPr>
    </w:lvl>
    <w:lvl w:ilvl="6">
      <w:start w:val="1"/>
      <w:numFmt w:val="decimal"/>
      <w:lvlText w:val="%7."/>
      <w:lvlJc w:val="left"/>
      <w:pPr>
        <w:tabs>
          <w:tab w:val="num" w:pos="4980"/>
        </w:tabs>
        <w:ind w:left="4980" w:hanging="300"/>
      </w:pPr>
      <w:rPr>
        <w:position w:val="0"/>
        <w:sz w:val="20"/>
        <w:szCs w:val="20"/>
        <w:lang w:val="fr-FR"/>
      </w:rPr>
    </w:lvl>
    <w:lvl w:ilvl="7">
      <w:start w:val="1"/>
      <w:numFmt w:val="lowerLetter"/>
      <w:lvlText w:val="%8."/>
      <w:lvlJc w:val="left"/>
      <w:pPr>
        <w:tabs>
          <w:tab w:val="num" w:pos="5700"/>
        </w:tabs>
        <w:ind w:left="5700" w:hanging="300"/>
      </w:pPr>
      <w:rPr>
        <w:position w:val="0"/>
        <w:sz w:val="20"/>
        <w:szCs w:val="20"/>
        <w:lang w:val="fr-FR"/>
      </w:rPr>
    </w:lvl>
    <w:lvl w:ilvl="8">
      <w:start w:val="1"/>
      <w:numFmt w:val="lowerRoman"/>
      <w:lvlText w:val="%9."/>
      <w:lvlJc w:val="left"/>
      <w:pPr>
        <w:tabs>
          <w:tab w:val="num" w:pos="6431"/>
        </w:tabs>
        <w:ind w:left="6431" w:hanging="247"/>
      </w:pPr>
      <w:rPr>
        <w:position w:val="0"/>
        <w:sz w:val="20"/>
        <w:szCs w:val="20"/>
        <w:lang w:val="fr-FR"/>
      </w:rPr>
    </w:lvl>
  </w:abstractNum>
  <w:num w:numId="1" w16cid:durableId="199630536">
    <w:abstractNumId w:val="4"/>
    <w:lvlOverride w:ilvl="0">
      <w:lvl w:ilvl="0">
        <w:start w:val="1"/>
        <w:numFmt w:val="upperRoman"/>
        <w:lvlText w:val="%1."/>
        <w:lvlJc w:val="left"/>
        <w:pPr>
          <w:tabs>
            <w:tab w:val="num" w:pos="1080"/>
          </w:tabs>
          <w:ind w:left="1080" w:hanging="720"/>
        </w:pPr>
        <w:rPr>
          <w:rFonts w:ascii="Times New Roman Bold" w:eastAsia="Times New Roman Bold" w:hAnsi="Times New Roman Bold" w:cs="Times New Roman Bold"/>
          <w:b/>
          <w:bCs/>
          <w:position w:val="0"/>
          <w:sz w:val="24"/>
          <w:szCs w:val="24"/>
          <w:u w:val="none"/>
          <w:lang w:val="fr-FR"/>
        </w:rPr>
      </w:lvl>
    </w:lvlOverride>
  </w:num>
  <w:num w:numId="2" w16cid:durableId="1813594042">
    <w:abstractNumId w:val="27"/>
  </w:num>
  <w:num w:numId="3" w16cid:durableId="580069581">
    <w:abstractNumId w:val="5"/>
  </w:num>
  <w:num w:numId="4" w16cid:durableId="148668096">
    <w:abstractNumId w:val="6"/>
  </w:num>
  <w:num w:numId="5" w16cid:durableId="479885481">
    <w:abstractNumId w:val="2"/>
  </w:num>
  <w:num w:numId="6" w16cid:durableId="1339692961">
    <w:abstractNumId w:val="8"/>
  </w:num>
  <w:num w:numId="7" w16cid:durableId="1720476734">
    <w:abstractNumId w:val="29"/>
  </w:num>
  <w:num w:numId="8" w16cid:durableId="477723995">
    <w:abstractNumId w:val="33"/>
  </w:num>
  <w:num w:numId="9" w16cid:durableId="452211733">
    <w:abstractNumId w:val="22"/>
  </w:num>
  <w:num w:numId="10" w16cid:durableId="1491873559">
    <w:abstractNumId w:val="13"/>
  </w:num>
  <w:num w:numId="11" w16cid:durableId="560872497">
    <w:abstractNumId w:val="7"/>
  </w:num>
  <w:num w:numId="12" w16cid:durableId="736637103">
    <w:abstractNumId w:val="1"/>
  </w:num>
  <w:num w:numId="13" w16cid:durableId="1622565836">
    <w:abstractNumId w:val="19"/>
  </w:num>
  <w:num w:numId="14" w16cid:durableId="330832809">
    <w:abstractNumId w:val="11"/>
  </w:num>
  <w:num w:numId="15" w16cid:durableId="1380282286">
    <w:abstractNumId w:val="0"/>
  </w:num>
  <w:num w:numId="16" w16cid:durableId="153762910">
    <w:abstractNumId w:val="16"/>
  </w:num>
  <w:num w:numId="17" w16cid:durableId="1068697883">
    <w:abstractNumId w:val="20"/>
  </w:num>
  <w:num w:numId="18" w16cid:durableId="807939157">
    <w:abstractNumId w:val="4"/>
  </w:num>
  <w:num w:numId="19" w16cid:durableId="471795831">
    <w:abstractNumId w:val="24"/>
  </w:num>
  <w:num w:numId="20" w16cid:durableId="1269391582">
    <w:abstractNumId w:val="31"/>
  </w:num>
  <w:num w:numId="21" w16cid:durableId="900483592">
    <w:abstractNumId w:val="26"/>
  </w:num>
  <w:num w:numId="22" w16cid:durableId="407466063">
    <w:abstractNumId w:val="30"/>
  </w:num>
  <w:num w:numId="23" w16cid:durableId="1015691002">
    <w:abstractNumId w:val="10"/>
  </w:num>
  <w:num w:numId="24" w16cid:durableId="1011571643">
    <w:abstractNumId w:val="14"/>
  </w:num>
  <w:num w:numId="25" w16cid:durableId="1451558485">
    <w:abstractNumId w:val="3"/>
  </w:num>
  <w:num w:numId="26" w16cid:durableId="1140347844">
    <w:abstractNumId w:val="12"/>
  </w:num>
  <w:num w:numId="27" w16cid:durableId="681469816">
    <w:abstractNumId w:val="17"/>
  </w:num>
  <w:num w:numId="28" w16cid:durableId="850292941">
    <w:abstractNumId w:val="18"/>
  </w:num>
  <w:num w:numId="29" w16cid:durableId="1050689992">
    <w:abstractNumId w:val="9"/>
  </w:num>
  <w:num w:numId="30" w16cid:durableId="1683778879">
    <w:abstractNumId w:val="21"/>
  </w:num>
  <w:num w:numId="31" w16cid:durableId="1331370124">
    <w:abstractNumId w:val="23"/>
  </w:num>
  <w:num w:numId="32" w16cid:durableId="282004271">
    <w:abstractNumId w:val="15"/>
  </w:num>
  <w:num w:numId="33" w16cid:durableId="245459474">
    <w:abstractNumId w:val="28"/>
  </w:num>
  <w:num w:numId="34" w16cid:durableId="1261984176">
    <w:abstractNumId w:val="32"/>
  </w:num>
  <w:num w:numId="35" w16cid:durableId="1873106194">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F1"/>
    <w:rsid w:val="00000666"/>
    <w:rsid w:val="00012AA0"/>
    <w:rsid w:val="00034AC3"/>
    <w:rsid w:val="00042093"/>
    <w:rsid w:val="000430F1"/>
    <w:rsid w:val="00050E5A"/>
    <w:rsid w:val="00066D18"/>
    <w:rsid w:val="000734F5"/>
    <w:rsid w:val="000822F7"/>
    <w:rsid w:val="00082BFD"/>
    <w:rsid w:val="00082F0E"/>
    <w:rsid w:val="00095C15"/>
    <w:rsid w:val="0009735E"/>
    <w:rsid w:val="000A2A06"/>
    <w:rsid w:val="000A4531"/>
    <w:rsid w:val="000A52B0"/>
    <w:rsid w:val="000A7568"/>
    <w:rsid w:val="000B7341"/>
    <w:rsid w:val="000E3872"/>
    <w:rsid w:val="000E3D0B"/>
    <w:rsid w:val="000E4C2B"/>
    <w:rsid w:val="000E4D74"/>
    <w:rsid w:val="0011095E"/>
    <w:rsid w:val="00112AB7"/>
    <w:rsid w:val="001159D7"/>
    <w:rsid w:val="0012381E"/>
    <w:rsid w:val="00123F2C"/>
    <w:rsid w:val="001363F4"/>
    <w:rsid w:val="0015674F"/>
    <w:rsid w:val="00170E35"/>
    <w:rsid w:val="00176F13"/>
    <w:rsid w:val="0019087C"/>
    <w:rsid w:val="00190E91"/>
    <w:rsid w:val="00193DAB"/>
    <w:rsid w:val="00195ABC"/>
    <w:rsid w:val="001A23B1"/>
    <w:rsid w:val="001B4C2F"/>
    <w:rsid w:val="001B6FB8"/>
    <w:rsid w:val="00213BFF"/>
    <w:rsid w:val="00221391"/>
    <w:rsid w:val="00223085"/>
    <w:rsid w:val="00224998"/>
    <w:rsid w:val="00225217"/>
    <w:rsid w:val="00234C99"/>
    <w:rsid w:val="00237528"/>
    <w:rsid w:val="00237AF3"/>
    <w:rsid w:val="00262484"/>
    <w:rsid w:val="002839F5"/>
    <w:rsid w:val="0028704D"/>
    <w:rsid w:val="00290558"/>
    <w:rsid w:val="002914A8"/>
    <w:rsid w:val="002914F2"/>
    <w:rsid w:val="002A1E49"/>
    <w:rsid w:val="002B3F51"/>
    <w:rsid w:val="002B62EA"/>
    <w:rsid w:val="002C2374"/>
    <w:rsid w:val="002C2966"/>
    <w:rsid w:val="002D1BE5"/>
    <w:rsid w:val="002F435E"/>
    <w:rsid w:val="002F65C6"/>
    <w:rsid w:val="00300FF3"/>
    <w:rsid w:val="003070BC"/>
    <w:rsid w:val="00317E13"/>
    <w:rsid w:val="00334165"/>
    <w:rsid w:val="0033577A"/>
    <w:rsid w:val="00337FAB"/>
    <w:rsid w:val="00341BC1"/>
    <w:rsid w:val="00362391"/>
    <w:rsid w:val="00381407"/>
    <w:rsid w:val="00382EBE"/>
    <w:rsid w:val="00384CAA"/>
    <w:rsid w:val="00391FAD"/>
    <w:rsid w:val="003A3008"/>
    <w:rsid w:val="003A4E9C"/>
    <w:rsid w:val="003A6245"/>
    <w:rsid w:val="003C5A8A"/>
    <w:rsid w:val="003D09CB"/>
    <w:rsid w:val="003D51F9"/>
    <w:rsid w:val="003F4743"/>
    <w:rsid w:val="003F7151"/>
    <w:rsid w:val="004155A8"/>
    <w:rsid w:val="00425052"/>
    <w:rsid w:val="00430DDF"/>
    <w:rsid w:val="004326F1"/>
    <w:rsid w:val="00434C2F"/>
    <w:rsid w:val="00436257"/>
    <w:rsid w:val="00444341"/>
    <w:rsid w:val="00476893"/>
    <w:rsid w:val="00481BAC"/>
    <w:rsid w:val="004A3EC3"/>
    <w:rsid w:val="004B1404"/>
    <w:rsid w:val="004B2EE5"/>
    <w:rsid w:val="004B58C7"/>
    <w:rsid w:val="004B5E21"/>
    <w:rsid w:val="004B601C"/>
    <w:rsid w:val="004C1883"/>
    <w:rsid w:val="004D1E56"/>
    <w:rsid w:val="004D493A"/>
    <w:rsid w:val="004D6347"/>
    <w:rsid w:val="004F0B65"/>
    <w:rsid w:val="004F2177"/>
    <w:rsid w:val="004F4054"/>
    <w:rsid w:val="005073F4"/>
    <w:rsid w:val="005105BC"/>
    <w:rsid w:val="005242F7"/>
    <w:rsid w:val="00527036"/>
    <w:rsid w:val="00553132"/>
    <w:rsid w:val="00555F03"/>
    <w:rsid w:val="00563534"/>
    <w:rsid w:val="0056641E"/>
    <w:rsid w:val="005667C1"/>
    <w:rsid w:val="0056699D"/>
    <w:rsid w:val="00566C86"/>
    <w:rsid w:val="00571E2F"/>
    <w:rsid w:val="0057205A"/>
    <w:rsid w:val="00572E06"/>
    <w:rsid w:val="00594A2E"/>
    <w:rsid w:val="00597C83"/>
    <w:rsid w:val="005A4D6F"/>
    <w:rsid w:val="005A735B"/>
    <w:rsid w:val="005B22FE"/>
    <w:rsid w:val="005B7E76"/>
    <w:rsid w:val="005E2F6B"/>
    <w:rsid w:val="005F05D3"/>
    <w:rsid w:val="005F0AEC"/>
    <w:rsid w:val="005F76B7"/>
    <w:rsid w:val="00603F8A"/>
    <w:rsid w:val="00605973"/>
    <w:rsid w:val="00605F1A"/>
    <w:rsid w:val="006176E8"/>
    <w:rsid w:val="00622BCF"/>
    <w:rsid w:val="00624668"/>
    <w:rsid w:val="00625646"/>
    <w:rsid w:val="006366AF"/>
    <w:rsid w:val="00640E19"/>
    <w:rsid w:val="00640EEF"/>
    <w:rsid w:val="0064102B"/>
    <w:rsid w:val="00683648"/>
    <w:rsid w:val="006A2B08"/>
    <w:rsid w:val="006A39F8"/>
    <w:rsid w:val="006B6C49"/>
    <w:rsid w:val="006C411F"/>
    <w:rsid w:val="006E5E8C"/>
    <w:rsid w:val="007022EE"/>
    <w:rsid w:val="00707857"/>
    <w:rsid w:val="00715787"/>
    <w:rsid w:val="00721AB0"/>
    <w:rsid w:val="007314D1"/>
    <w:rsid w:val="007320B8"/>
    <w:rsid w:val="00743BE8"/>
    <w:rsid w:val="007558C0"/>
    <w:rsid w:val="00756E51"/>
    <w:rsid w:val="00763EC1"/>
    <w:rsid w:val="007706E4"/>
    <w:rsid w:val="0077193F"/>
    <w:rsid w:val="00783DB4"/>
    <w:rsid w:val="007900F1"/>
    <w:rsid w:val="007A5D9F"/>
    <w:rsid w:val="007A5F9D"/>
    <w:rsid w:val="007A73A8"/>
    <w:rsid w:val="007B4C02"/>
    <w:rsid w:val="007C3459"/>
    <w:rsid w:val="007C4BC4"/>
    <w:rsid w:val="007C6E88"/>
    <w:rsid w:val="007D405D"/>
    <w:rsid w:val="007E24A9"/>
    <w:rsid w:val="007F2759"/>
    <w:rsid w:val="007F4669"/>
    <w:rsid w:val="00813CE7"/>
    <w:rsid w:val="0083557B"/>
    <w:rsid w:val="008417C7"/>
    <w:rsid w:val="00855F5E"/>
    <w:rsid w:val="00856F71"/>
    <w:rsid w:val="008651CF"/>
    <w:rsid w:val="00872326"/>
    <w:rsid w:val="00897D4C"/>
    <w:rsid w:val="008A1E0D"/>
    <w:rsid w:val="008A24BE"/>
    <w:rsid w:val="008B50BB"/>
    <w:rsid w:val="008C4FBB"/>
    <w:rsid w:val="008D2C7E"/>
    <w:rsid w:val="008E5C80"/>
    <w:rsid w:val="008E650C"/>
    <w:rsid w:val="008F05B7"/>
    <w:rsid w:val="008F68FC"/>
    <w:rsid w:val="00900ABC"/>
    <w:rsid w:val="009276AC"/>
    <w:rsid w:val="00944CC7"/>
    <w:rsid w:val="009475B5"/>
    <w:rsid w:val="009546C9"/>
    <w:rsid w:val="00955737"/>
    <w:rsid w:val="00956E05"/>
    <w:rsid w:val="009614C0"/>
    <w:rsid w:val="009905B4"/>
    <w:rsid w:val="00992F16"/>
    <w:rsid w:val="00993357"/>
    <w:rsid w:val="009A4783"/>
    <w:rsid w:val="009A5A13"/>
    <w:rsid w:val="009C15A0"/>
    <w:rsid w:val="009C2A8B"/>
    <w:rsid w:val="009C7F41"/>
    <w:rsid w:val="009E088D"/>
    <w:rsid w:val="009E63E5"/>
    <w:rsid w:val="009F1EDB"/>
    <w:rsid w:val="009F2AE1"/>
    <w:rsid w:val="009F52E0"/>
    <w:rsid w:val="00A04A85"/>
    <w:rsid w:val="00A10471"/>
    <w:rsid w:val="00A15A2C"/>
    <w:rsid w:val="00A22045"/>
    <w:rsid w:val="00A23C3A"/>
    <w:rsid w:val="00A30A63"/>
    <w:rsid w:val="00A32EB2"/>
    <w:rsid w:val="00A611DC"/>
    <w:rsid w:val="00A62891"/>
    <w:rsid w:val="00A65393"/>
    <w:rsid w:val="00A71327"/>
    <w:rsid w:val="00A73AD3"/>
    <w:rsid w:val="00A84A18"/>
    <w:rsid w:val="00A90F15"/>
    <w:rsid w:val="00A94A81"/>
    <w:rsid w:val="00AA23BA"/>
    <w:rsid w:val="00AA2F21"/>
    <w:rsid w:val="00AA3B6D"/>
    <w:rsid w:val="00AA53BD"/>
    <w:rsid w:val="00AB67D6"/>
    <w:rsid w:val="00AB6925"/>
    <w:rsid w:val="00AC3F36"/>
    <w:rsid w:val="00AD0555"/>
    <w:rsid w:val="00AE6CF2"/>
    <w:rsid w:val="00AF2041"/>
    <w:rsid w:val="00B06E15"/>
    <w:rsid w:val="00B254A3"/>
    <w:rsid w:val="00B34AAE"/>
    <w:rsid w:val="00B35614"/>
    <w:rsid w:val="00B37CB3"/>
    <w:rsid w:val="00B65E37"/>
    <w:rsid w:val="00B75A46"/>
    <w:rsid w:val="00B929CD"/>
    <w:rsid w:val="00B94DBC"/>
    <w:rsid w:val="00BA60FF"/>
    <w:rsid w:val="00BC103B"/>
    <w:rsid w:val="00BC3422"/>
    <w:rsid w:val="00BC3A46"/>
    <w:rsid w:val="00BC5C77"/>
    <w:rsid w:val="00BE3C83"/>
    <w:rsid w:val="00BF5DF8"/>
    <w:rsid w:val="00C05A7C"/>
    <w:rsid w:val="00C1285A"/>
    <w:rsid w:val="00C1368F"/>
    <w:rsid w:val="00C2318C"/>
    <w:rsid w:val="00C4244A"/>
    <w:rsid w:val="00C52140"/>
    <w:rsid w:val="00C52334"/>
    <w:rsid w:val="00C6631C"/>
    <w:rsid w:val="00C95615"/>
    <w:rsid w:val="00CA530F"/>
    <w:rsid w:val="00CA6CAA"/>
    <w:rsid w:val="00CB0CF8"/>
    <w:rsid w:val="00CB1305"/>
    <w:rsid w:val="00CB7CE1"/>
    <w:rsid w:val="00CC2A04"/>
    <w:rsid w:val="00CD64CD"/>
    <w:rsid w:val="00CE008B"/>
    <w:rsid w:val="00CF01BE"/>
    <w:rsid w:val="00D02603"/>
    <w:rsid w:val="00D0398F"/>
    <w:rsid w:val="00D155AD"/>
    <w:rsid w:val="00D208BD"/>
    <w:rsid w:val="00D244C2"/>
    <w:rsid w:val="00D247A7"/>
    <w:rsid w:val="00D26E53"/>
    <w:rsid w:val="00D32FB7"/>
    <w:rsid w:val="00D40645"/>
    <w:rsid w:val="00D43140"/>
    <w:rsid w:val="00D55C93"/>
    <w:rsid w:val="00D60721"/>
    <w:rsid w:val="00D64D48"/>
    <w:rsid w:val="00D70256"/>
    <w:rsid w:val="00D822DD"/>
    <w:rsid w:val="00D91CB1"/>
    <w:rsid w:val="00DA0B02"/>
    <w:rsid w:val="00DA28E9"/>
    <w:rsid w:val="00DA4B9F"/>
    <w:rsid w:val="00DB5024"/>
    <w:rsid w:val="00DB5EBF"/>
    <w:rsid w:val="00DC2707"/>
    <w:rsid w:val="00DC7844"/>
    <w:rsid w:val="00DF0436"/>
    <w:rsid w:val="00DF32D1"/>
    <w:rsid w:val="00DF6892"/>
    <w:rsid w:val="00E04491"/>
    <w:rsid w:val="00E0560B"/>
    <w:rsid w:val="00E076DE"/>
    <w:rsid w:val="00E0772E"/>
    <w:rsid w:val="00E141D3"/>
    <w:rsid w:val="00E23EB8"/>
    <w:rsid w:val="00E41F87"/>
    <w:rsid w:val="00E501F7"/>
    <w:rsid w:val="00E50589"/>
    <w:rsid w:val="00E52BB7"/>
    <w:rsid w:val="00E54407"/>
    <w:rsid w:val="00E62241"/>
    <w:rsid w:val="00E637F0"/>
    <w:rsid w:val="00E7014B"/>
    <w:rsid w:val="00E774BE"/>
    <w:rsid w:val="00E8372C"/>
    <w:rsid w:val="00E967B6"/>
    <w:rsid w:val="00EA19DC"/>
    <w:rsid w:val="00EA1B4C"/>
    <w:rsid w:val="00ED5F28"/>
    <w:rsid w:val="00F13328"/>
    <w:rsid w:val="00F2265E"/>
    <w:rsid w:val="00F2791C"/>
    <w:rsid w:val="00F44741"/>
    <w:rsid w:val="00F676BB"/>
    <w:rsid w:val="00F72BB4"/>
    <w:rsid w:val="00F75374"/>
    <w:rsid w:val="00F85DFC"/>
    <w:rsid w:val="00F94B1A"/>
    <w:rsid w:val="00F96B14"/>
    <w:rsid w:val="00F9760A"/>
    <w:rsid w:val="00FA287D"/>
    <w:rsid w:val="00FB4BDE"/>
    <w:rsid w:val="00FC368F"/>
    <w:rsid w:val="00FC39D5"/>
    <w:rsid w:val="00FC4B25"/>
    <w:rsid w:val="00FD156B"/>
    <w:rsid w:val="00FD73FB"/>
    <w:rsid w:val="00FD7E46"/>
    <w:rsid w:val="00FE5736"/>
    <w:rsid w:val="00FE666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A672"/>
  <w15:docId w15:val="{A5345F40-ECEB-4E54-AF77-7F083A30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436257"/>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next w:val="Body"/>
    <w:pPr>
      <w:keepNext/>
      <w:keepLines/>
      <w:spacing w:before="200" w:line="276" w:lineRule="auto"/>
      <w:outlineLvl w:val="1"/>
    </w:pPr>
    <w:rPr>
      <w:rFonts w:ascii="Cambria" w:eastAsia="Cambria" w:hAnsi="Cambria" w:cs="Cambria"/>
      <w:b/>
      <w:bCs/>
      <w:color w:val="4F81BD"/>
      <w:sz w:val="26"/>
      <w:szCs w:val="26"/>
      <w:u w:color="4F81BD"/>
    </w:rPr>
  </w:style>
  <w:style w:type="paragraph" w:styleId="Heading3">
    <w:name w:val="heading 3"/>
    <w:next w:val="Body"/>
    <w:pPr>
      <w:keepNext/>
      <w:spacing w:before="240" w:after="60" w:line="360" w:lineRule="auto"/>
      <w:outlineLvl w:val="2"/>
    </w:pPr>
    <w:rPr>
      <w:rFonts w:ascii="Arial Bold" w:eastAsia="Arial Bold" w:hAnsi="Arial Bold" w:cs="Arial Bold"/>
      <w:color w:val="000000"/>
      <w:sz w:val="26"/>
      <w:szCs w:val="26"/>
      <w:u w:color="000000"/>
    </w:rPr>
  </w:style>
  <w:style w:type="paragraph" w:styleId="Heading4">
    <w:name w:val="heading 4"/>
    <w:next w:val="Body"/>
    <w:pPr>
      <w:keepNext/>
      <w:keepLines/>
      <w:spacing w:before="200" w:line="276" w:lineRule="auto"/>
      <w:outlineLvl w:val="3"/>
    </w:pPr>
    <w:rPr>
      <w:rFonts w:ascii="Cambria" w:eastAsia="Cambria" w:hAnsi="Cambria" w:cs="Cambria"/>
      <w:b/>
      <w:bCs/>
      <w:i/>
      <w:iCs/>
      <w:color w:val="4F81BD"/>
      <w:sz w:val="22"/>
      <w:szCs w:val="22"/>
      <w:u w:color="4F81BD"/>
      <w:lang w:val="en-US"/>
    </w:rPr>
  </w:style>
  <w:style w:type="paragraph" w:styleId="Heading5">
    <w:name w:val="heading 5"/>
    <w:next w:val="Body"/>
    <w:pPr>
      <w:keepNext/>
      <w:keepLines/>
      <w:spacing w:before="200" w:line="276" w:lineRule="auto"/>
      <w:outlineLvl w:val="4"/>
    </w:pPr>
    <w:rPr>
      <w:rFonts w:ascii="Cambria" w:eastAsia="Cambria" w:hAnsi="Cambria" w:cs="Cambria"/>
      <w:color w:val="243F60"/>
      <w:sz w:val="22"/>
      <w:szCs w:val="22"/>
      <w:u w:color="243F6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536"/>
        <w:tab w:val="right" w:pos="9072"/>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OCHeading">
    <w:name w:val="TOC Heading"/>
    <w:next w:val="Body"/>
    <w:uiPriority w:val="39"/>
    <w:qFormat/>
    <w:pPr>
      <w:keepNext/>
      <w:keepLines/>
      <w:spacing w:before="480" w:line="276" w:lineRule="auto"/>
    </w:pPr>
    <w:rPr>
      <w:rFonts w:ascii="Cambria" w:eastAsia="Cambria" w:hAnsi="Cambria" w:cs="Cambria"/>
      <w:b/>
      <w:bCs/>
      <w:color w:val="365F91"/>
      <w:sz w:val="28"/>
      <w:szCs w:val="28"/>
      <w:u w:color="365F91"/>
      <w:lang w:val="en-US"/>
    </w:rPr>
  </w:style>
  <w:style w:type="paragraph" w:styleId="TOC2">
    <w:name w:val="toc 2"/>
    <w:uiPriority w:val="39"/>
    <w:pPr>
      <w:tabs>
        <w:tab w:val="right" w:leader="dot" w:pos="9046"/>
      </w:tabs>
      <w:spacing w:after="100" w:line="276" w:lineRule="auto"/>
      <w:ind w:left="220"/>
    </w:pPr>
    <w:rPr>
      <w:rFonts w:ascii="Calibri" w:eastAsia="Calibri" w:hAnsi="Calibri" w:cs="Calibri"/>
      <w:color w:val="000000"/>
      <w:sz w:val="22"/>
      <w:szCs w:val="22"/>
      <w:u w:color="000000"/>
      <w:lang w:val="en-US"/>
    </w:rPr>
  </w:style>
  <w:style w:type="paragraph" w:styleId="TOC3">
    <w:name w:val="toc 3"/>
    <w:uiPriority w:val="39"/>
    <w:pPr>
      <w:tabs>
        <w:tab w:val="right" w:leader="dot" w:pos="9046"/>
      </w:tabs>
      <w:spacing w:after="100" w:line="276" w:lineRule="auto"/>
      <w:ind w:left="440"/>
    </w:pPr>
    <w:rPr>
      <w:rFonts w:ascii="Calibri" w:eastAsia="Calibri" w:hAnsi="Calibri" w:cs="Calibri"/>
      <w:color w:val="000000"/>
      <w:sz w:val="22"/>
      <w:szCs w:val="22"/>
      <w:u w:color="000000"/>
      <w:lang w:val="en-US"/>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18"/>
      </w:numPr>
    </w:pPr>
  </w:style>
  <w:style w:type="numbering" w:customStyle="1" w:styleId="ImportedStyle1">
    <w:name w:val="Imported Style 1"/>
  </w:style>
  <w:style w:type="character" w:customStyle="1" w:styleId="Link">
    <w:name w:val="Link"/>
    <w:rPr>
      <w:color w:val="0000FF"/>
      <w:u w:val="single" w:color="0000FF"/>
    </w:rPr>
  </w:style>
  <w:style w:type="character" w:customStyle="1" w:styleId="Hyperlink0">
    <w:name w:val="Hyperlink.0"/>
    <w:basedOn w:val="Link"/>
    <w:rPr>
      <w:color w:val="000000"/>
      <w:u w:val="none" w:color="000000"/>
      <w:lang w:val="fr-FR"/>
    </w:rPr>
  </w:style>
  <w:style w:type="paragraph" w:styleId="NormalWeb">
    <w:name w:val="Normal (Web)"/>
    <w:uiPriority w:val="99"/>
    <w:pPr>
      <w:spacing w:before="100" w:after="100"/>
    </w:pPr>
    <w:rPr>
      <w:rFonts w:eastAsia="Times New Roman"/>
      <w:color w:val="000000"/>
      <w:sz w:val="24"/>
      <w:szCs w:val="24"/>
      <w:u w:color="000000"/>
      <w:lang w:val="en-US"/>
    </w:r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4"/>
    <w:pPr>
      <w:numPr>
        <w:numId w:val="14"/>
      </w:numPr>
    </w:pPr>
  </w:style>
  <w:style w:type="numbering" w:customStyle="1" w:styleId="List51">
    <w:name w:val="List 51"/>
    <w:basedOn w:val="ImportedStyle5"/>
    <w:pPr>
      <w:numPr>
        <w:numId w:val="15"/>
      </w:numPr>
    </w:pPr>
  </w:style>
  <w:style w:type="numbering" w:customStyle="1" w:styleId="ImportedStyle5">
    <w:name w:val="Imported Style 5"/>
  </w:style>
  <w:style w:type="numbering" w:customStyle="1" w:styleId="List6">
    <w:name w:val="List 6"/>
    <w:basedOn w:val="ImportedStyle6"/>
    <w:pPr>
      <w:numPr>
        <w:numId w:val="16"/>
      </w:numPr>
    </w:pPr>
  </w:style>
  <w:style w:type="numbering" w:customStyle="1" w:styleId="ImportedStyle6">
    <w:name w:val="Imported Style 6"/>
  </w:style>
  <w:style w:type="numbering" w:customStyle="1" w:styleId="List7">
    <w:name w:val="List 7"/>
    <w:basedOn w:val="ImportedStyle7"/>
    <w:pPr>
      <w:numPr>
        <w:numId w:val="17"/>
      </w:numPr>
    </w:pPr>
  </w:style>
  <w:style w:type="numbering" w:customStyle="1" w:styleId="ImportedStyle7">
    <w:name w:val="Imported Style 7"/>
  </w:style>
  <w:style w:type="paragraph" w:styleId="Header">
    <w:name w:val="header"/>
    <w:basedOn w:val="Normal"/>
    <w:link w:val="HeaderChar"/>
    <w:uiPriority w:val="99"/>
    <w:unhideWhenUsed/>
    <w:rsid w:val="000E4D74"/>
    <w:pPr>
      <w:tabs>
        <w:tab w:val="center" w:pos="4536"/>
        <w:tab w:val="right" w:pos="9072"/>
      </w:tabs>
    </w:pPr>
  </w:style>
  <w:style w:type="character" w:customStyle="1" w:styleId="HeaderChar">
    <w:name w:val="Header Char"/>
    <w:basedOn w:val="DefaultParagraphFont"/>
    <w:link w:val="Header"/>
    <w:uiPriority w:val="99"/>
    <w:rsid w:val="000E4D74"/>
    <w:rPr>
      <w:sz w:val="24"/>
      <w:szCs w:val="24"/>
      <w:lang w:val="en-US" w:eastAsia="en-US"/>
    </w:rPr>
  </w:style>
  <w:style w:type="character" w:customStyle="1" w:styleId="Heading1Char">
    <w:name w:val="Heading 1 Char"/>
    <w:basedOn w:val="DefaultParagraphFont"/>
    <w:link w:val="Heading1"/>
    <w:uiPriority w:val="9"/>
    <w:rsid w:val="00436257"/>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436257"/>
    <w:rPr>
      <w:sz w:val="24"/>
      <w:szCs w:val="24"/>
      <w:lang w:val="en-US" w:eastAsia="en-US"/>
    </w:rPr>
  </w:style>
  <w:style w:type="paragraph" w:styleId="TOC1">
    <w:name w:val="toc 1"/>
    <w:basedOn w:val="Normal"/>
    <w:next w:val="Normal"/>
    <w:autoRedefine/>
    <w:uiPriority w:val="39"/>
    <w:unhideWhenUsed/>
    <w:rsid w:val="0043625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170323">
      <w:bodyDiv w:val="1"/>
      <w:marLeft w:val="0"/>
      <w:marRight w:val="0"/>
      <w:marTop w:val="0"/>
      <w:marBottom w:val="0"/>
      <w:divBdr>
        <w:top w:val="none" w:sz="0" w:space="0" w:color="auto"/>
        <w:left w:val="none" w:sz="0" w:space="0" w:color="auto"/>
        <w:bottom w:val="none" w:sz="0" w:space="0" w:color="auto"/>
        <w:right w:val="none" w:sz="0" w:space="0" w:color="auto"/>
      </w:divBdr>
      <w:divsChild>
        <w:div w:id="1054279956">
          <w:marLeft w:val="0"/>
          <w:marRight w:val="0"/>
          <w:marTop w:val="0"/>
          <w:marBottom w:val="0"/>
          <w:divBdr>
            <w:top w:val="none" w:sz="0" w:space="0" w:color="auto"/>
            <w:left w:val="none" w:sz="0" w:space="0" w:color="auto"/>
            <w:bottom w:val="none" w:sz="0" w:space="0" w:color="auto"/>
            <w:right w:val="none" w:sz="0" w:space="0" w:color="auto"/>
          </w:divBdr>
          <w:divsChild>
            <w:div w:id="1879464888">
              <w:marLeft w:val="0"/>
              <w:marRight w:val="0"/>
              <w:marTop w:val="0"/>
              <w:marBottom w:val="0"/>
              <w:divBdr>
                <w:top w:val="none" w:sz="0" w:space="0" w:color="auto"/>
                <w:left w:val="none" w:sz="0" w:space="0" w:color="auto"/>
                <w:bottom w:val="none" w:sz="0" w:space="0" w:color="auto"/>
                <w:right w:val="none" w:sz="0" w:space="0" w:color="auto"/>
              </w:divBdr>
              <w:divsChild>
                <w:div w:id="1562446771">
                  <w:marLeft w:val="0"/>
                  <w:marRight w:val="0"/>
                  <w:marTop w:val="0"/>
                  <w:marBottom w:val="0"/>
                  <w:divBdr>
                    <w:top w:val="none" w:sz="0" w:space="0" w:color="auto"/>
                    <w:left w:val="none" w:sz="0" w:space="0" w:color="auto"/>
                    <w:bottom w:val="none" w:sz="0" w:space="0" w:color="auto"/>
                    <w:right w:val="none" w:sz="0" w:space="0" w:color="auto"/>
                  </w:divBdr>
                  <w:divsChild>
                    <w:div w:id="65372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gifrance.gouv.fr/affichCodeArticle.do?idArticle=LEGIARTI000025139304&amp;cidTexte=LEGITEXT000006072665&amp;dateTexte=20131014&amp;oldAction=rechCode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16</Pages>
  <Words>4752</Words>
  <Characters>27093</Characters>
  <Application>Microsoft Office Word</Application>
  <DocSecurity>0</DocSecurity>
  <Lines>225</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anthadd</dc:creator>
  <cp:lastModifiedBy>Elsa Bou Nader</cp:lastModifiedBy>
  <cp:revision>12</cp:revision>
  <dcterms:created xsi:type="dcterms:W3CDTF">2022-09-19T07:35:00Z</dcterms:created>
  <dcterms:modified xsi:type="dcterms:W3CDTF">2022-12-15T15:51:00Z</dcterms:modified>
</cp:coreProperties>
</file>